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44183" w14:textId="77777777" w:rsidR="00E01509" w:rsidRDefault="004D7CAF" w:rsidP="00E01509">
      <w:r>
        <w:rPr>
          <w:noProof/>
        </w:rPr>
        <mc:AlternateContent>
          <mc:Choice Requires="wps">
            <w:drawing>
              <wp:inline distT="0" distB="0" distL="0" distR="0" wp14:anchorId="5498C314" wp14:editId="0380C709">
                <wp:extent cx="3419475" cy="533400"/>
                <wp:effectExtent l="0" t="0" r="0" b="0"/>
                <wp:docPr id="30723" name="Rectangle 30723" descr="Deafblind Information Australia logo"/>
                <wp:cNvGraphicFramePr/>
                <a:graphic xmlns:a="http://schemas.openxmlformats.org/drawingml/2006/main">
                  <a:graphicData uri="http://schemas.microsoft.com/office/word/2010/wordprocessingShape">
                    <wps:wsp>
                      <wps:cNvSpPr/>
                      <wps:spPr>
                        <a:xfrm>
                          <a:off x="0" y="0"/>
                          <a:ext cx="3419475" cy="533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48C9E57" id="Rectangle 30723" o:spid="_x0000_s1026" alt="Deafblind Information Australia logo" style="width:269.25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" filled="f" stroked="f" strokeweight="1.5pt">
                <w10:anchorlock/>
              </v:rect>
            </w:pict>
          </mc:Fallback>
        </mc:AlternateContent>
      </w:r>
      <w:r>
        <w:rPr>
          <w:noProof/>
        </w:rPr>
        <w:drawing>
          <wp:anchor distT="0" distB="0" distL="114300" distR="114300" simplePos="0" relativeHeight="251659264" behindDoc="0" locked="1" layoutInCell="1" allowOverlap="1" wp14:anchorId="7E6065E7" wp14:editId="5332539D">
            <wp:simplePos x="0" y="0"/>
            <wp:positionH relativeFrom="page">
              <wp:align>left</wp:align>
            </wp:positionH>
            <wp:positionV relativeFrom="page">
              <wp:align>top</wp:align>
            </wp:positionV>
            <wp:extent cx="7026910" cy="1142365"/>
            <wp:effectExtent l="0" t="0" r="2540" b="635"/>
            <wp:wrapNone/>
            <wp:docPr id="30722" name="Picture 30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Picture 3072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26910" cy="1142784"/>
                    </a:xfrm>
                    <a:prstGeom prst="rect">
                      <a:avLst/>
                    </a:prstGeom>
                  </pic:spPr>
                </pic:pic>
              </a:graphicData>
            </a:graphic>
            <wp14:sizeRelH relativeFrom="margin">
              <wp14:pctWidth>0</wp14:pctWidth>
            </wp14:sizeRelH>
            <wp14:sizeRelV relativeFrom="margin">
              <wp14:pctHeight>0</wp14:pctHeight>
            </wp14:sizeRelV>
          </wp:anchor>
        </w:drawing>
      </w:r>
    </w:p>
    <w:p w14:paraId="75120A0A" w14:textId="764C4847" w:rsidR="0098361B" w:rsidRPr="00CE1607" w:rsidRDefault="005A085C" w:rsidP="00E01509">
      <w:pPr>
        <w:pStyle w:val="Heading1"/>
      </w:pPr>
      <w:r>
        <w:t>Braille</w:t>
      </w:r>
    </w:p>
    <w:p w14:paraId="50181E76" w14:textId="77777777" w:rsidR="00E3422D" w:rsidRDefault="00BE5DC9" w:rsidP="00251963">
      <w:pPr>
        <w:pStyle w:val="Subtitle"/>
        <w:sectPr w:rsidR="00E3422D" w:rsidSect="00E97A42">
          <w:footerReference w:type="default" r:id="rId13"/>
          <w:footerReference w:type="first" r:id="rId14"/>
          <w:type w:val="continuous"/>
          <w:pgSz w:w="11900" w:h="16840"/>
          <w:pgMar w:top="709" w:right="1298" w:bottom="1418" w:left="1247" w:header="0" w:footer="567" w:gutter="0"/>
          <w:cols w:space="709"/>
          <w:titlePg/>
          <w:docGrid w:linePitch="360"/>
        </w:sectPr>
      </w:pPr>
      <w:r w:rsidRPr="00BE5DC9">
        <w:t>Fact Sheet</w:t>
      </w:r>
    </w:p>
    <w:p w14:paraId="7E376131" w14:textId="65CDE32D" w:rsidR="005A085C" w:rsidRDefault="005A085C" w:rsidP="000D2147">
      <w:pPr>
        <w:pStyle w:val="FeatureText"/>
      </w:pPr>
      <w:r>
        <w:t>Braille supports access to information and increased participation of people with vision impairments in the community.</w:t>
      </w:r>
    </w:p>
    <w:p w14:paraId="1941D640" w14:textId="77777777" w:rsidR="000D2147" w:rsidRDefault="000D2147" w:rsidP="000D2147">
      <w:pPr>
        <w:pStyle w:val="FeatureText"/>
      </w:pPr>
      <w:r w:rsidRPr="009834F9">
        <w:rPr>
          <w:noProof/>
        </w:rPr>
        <w:drawing>
          <wp:inline distT="0" distB="0" distL="0" distR="0" wp14:anchorId="78283F37" wp14:editId="02A89644">
            <wp:extent cx="2723182" cy="2916936"/>
            <wp:effectExtent l="38100" t="38100" r="33020" b="42545"/>
            <wp:docPr id="7" name="Picture 7" descr="Carleeta sitting on a chair with her refreshable braille display device on her l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arleeta sitting on a chair with her refreshable braille display device on her lap."/>
                    <pic:cNvPicPr/>
                  </pic:nvPicPr>
                  <pic:blipFill>
                    <a:blip r:embed="rId15">
                      <a:extLst>
                        <a:ext uri="{28A0092B-C50C-407E-A947-70E740481C1C}">
                          <a14:useLocalDpi xmlns:a14="http://schemas.microsoft.com/office/drawing/2010/main" val="0"/>
                        </a:ext>
                      </a:extLst>
                    </a:blip>
                    <a:srcRect t="9748" b="9748"/>
                    <a:stretch>
                      <a:fillRect/>
                    </a:stretch>
                  </pic:blipFill>
                  <pic:spPr bwMode="auto">
                    <a:xfrm>
                      <a:off x="0" y="0"/>
                      <a:ext cx="2738220" cy="2933044"/>
                    </a:xfrm>
                    <a:prstGeom prst="rect">
                      <a:avLst/>
                    </a:prstGeom>
                    <a:ln w="28575">
                      <a:solidFill>
                        <a:schemeClr val="accent1"/>
                      </a:solidFill>
                    </a:ln>
                    <a:extLst>
                      <a:ext uri="{53640926-AAD7-44D8-BBD7-CCE9431645EC}">
                        <a14:shadowObscured xmlns:a14="http://schemas.microsoft.com/office/drawing/2010/main"/>
                      </a:ext>
                    </a:extLst>
                  </pic:spPr>
                </pic:pic>
              </a:graphicData>
            </a:graphic>
          </wp:inline>
        </w:drawing>
      </w:r>
    </w:p>
    <w:p w14:paraId="0DC525FD" w14:textId="792CE9BE" w:rsidR="000D2147" w:rsidRPr="00B60A87" w:rsidRDefault="000D2147" w:rsidP="000D2147">
      <w:pPr>
        <w:pStyle w:val="H2-ClientStory"/>
      </w:pPr>
      <w:r>
        <w:t>Carleeta</w:t>
      </w:r>
    </w:p>
    <w:p w14:paraId="3258F1D2" w14:textId="3F286715" w:rsidR="000D2147" w:rsidRPr="00F02AED" w:rsidRDefault="000D2147" w:rsidP="005A085C">
      <w:r w:rsidRPr="000D2147">
        <w:t>Carleeta learnt braille when she was 29 years old. She now uses braille to read text messages, emails and documents.</w:t>
      </w:r>
    </w:p>
    <w:p w14:paraId="4FD00D99" w14:textId="0E01A365" w:rsidR="005A085C" w:rsidRPr="005A085C" w:rsidRDefault="005A085C" w:rsidP="005A085C">
      <w:pPr>
        <w:pStyle w:val="Heading2"/>
        <w:rPr>
          <w:b w:val="0"/>
          <w:bCs/>
        </w:rPr>
      </w:pPr>
      <w:r w:rsidRPr="006913A1">
        <w:rPr>
          <w:bCs/>
        </w:rPr>
        <w:t xml:space="preserve">What is </w:t>
      </w:r>
      <w:r>
        <w:rPr>
          <w:bCs/>
        </w:rPr>
        <w:t>b</w:t>
      </w:r>
      <w:r w:rsidRPr="006913A1">
        <w:rPr>
          <w:bCs/>
        </w:rPr>
        <w:t>raille</w:t>
      </w:r>
      <w:r>
        <w:rPr>
          <w:bCs/>
        </w:rPr>
        <w:t>?</w:t>
      </w:r>
    </w:p>
    <w:p w14:paraId="3DFE1C61" w14:textId="63EFA3A8" w:rsidR="005A085C" w:rsidRDefault="005A085C" w:rsidP="005A085C">
      <w:r>
        <w:t>Braille is a</w:t>
      </w:r>
      <w:r w:rsidRPr="000439B9">
        <w:t xml:space="preserve"> </w:t>
      </w:r>
      <w:r w:rsidRPr="00BD4DFB">
        <w:t>tactile</w:t>
      </w:r>
      <w:r>
        <w:t xml:space="preserve"> reading format containing raised </w:t>
      </w:r>
      <w:r w:rsidRPr="000439B9">
        <w:t>dots</w:t>
      </w:r>
      <w:r>
        <w:t xml:space="preserve"> that are grouped in to symbols which represent letters of the alphabet. A single braille cell </w:t>
      </w:r>
      <w:r>
        <w:t xml:space="preserve">contains up to 6 dots, 2 across and 3 vertical, like a box of 6 eggs. </w:t>
      </w:r>
    </w:p>
    <w:p w14:paraId="3137F4AE" w14:textId="7DFBFCC2" w:rsidR="005A085C" w:rsidRPr="005A085C" w:rsidRDefault="005A085C" w:rsidP="005A085C">
      <w:pPr>
        <w:pStyle w:val="Heading3"/>
        <w:rPr>
          <w:b w:val="0"/>
          <w:bCs/>
        </w:rPr>
      </w:pPr>
      <w:bookmarkStart w:id="0" w:name="Grade1"/>
      <w:bookmarkStart w:id="1" w:name="_Grade_1_braille:"/>
      <w:bookmarkEnd w:id="0"/>
      <w:bookmarkEnd w:id="1"/>
      <w:r w:rsidRPr="00D90963">
        <w:rPr>
          <w:bCs/>
        </w:rPr>
        <w:t>Grade 1 braille</w:t>
      </w:r>
    </w:p>
    <w:p w14:paraId="3B7F9EEB" w14:textId="24D4BA9F" w:rsidR="005A085C" w:rsidRDefault="005A085C" w:rsidP="005A085C">
      <w:r>
        <w:t xml:space="preserve">Grade 1 braille is an unabbreviated form of braille which does not contain any short form symbols, commonly called contractions. All words are brailled letter for letter. </w:t>
      </w:r>
    </w:p>
    <w:p w14:paraId="6DC4F17A" w14:textId="100830D8" w:rsidR="005A085C" w:rsidRPr="005A085C" w:rsidRDefault="005A085C" w:rsidP="005A085C">
      <w:pPr>
        <w:pStyle w:val="Heading3"/>
        <w:rPr>
          <w:b w:val="0"/>
          <w:bCs/>
        </w:rPr>
      </w:pPr>
      <w:bookmarkStart w:id="2" w:name="Grade2"/>
      <w:bookmarkStart w:id="3" w:name="_Grade_2_braille:"/>
      <w:bookmarkEnd w:id="2"/>
      <w:bookmarkEnd w:id="3"/>
      <w:r w:rsidRPr="00B40E25">
        <w:rPr>
          <w:bCs/>
        </w:rPr>
        <w:t>Grade 2 braille</w:t>
      </w:r>
    </w:p>
    <w:p w14:paraId="7E6BCB0B" w14:textId="25468219" w:rsidR="005A085C" w:rsidRDefault="005A085C" w:rsidP="005A085C">
      <w:r>
        <w:t xml:space="preserve">Grade 2 braille is an </w:t>
      </w:r>
      <w:r w:rsidRPr="00AF369D">
        <w:t>abbreviated</w:t>
      </w:r>
      <w:r>
        <w:t xml:space="preserve"> form of braille. It contains </w:t>
      </w:r>
      <w:r w:rsidRPr="00AF369D">
        <w:t>contractions</w:t>
      </w:r>
      <w:r>
        <w:rPr>
          <w:rStyle w:val="Hyperlink"/>
        </w:rPr>
        <w:t>,</w:t>
      </w:r>
      <w:r>
        <w:t xml:space="preserve"> which are signs that represent more than one letter within a word, or a whole word when written on its own. </w:t>
      </w:r>
    </w:p>
    <w:p w14:paraId="08596C05" w14:textId="77777777" w:rsidR="005A085C" w:rsidRPr="00010D21" w:rsidRDefault="005A085C" w:rsidP="005A085C">
      <w:pPr>
        <w:pStyle w:val="Heading2"/>
        <w:rPr>
          <w:b w:val="0"/>
          <w:bCs/>
        </w:rPr>
      </w:pPr>
      <w:bookmarkStart w:id="4" w:name="_Other_braille_codes:"/>
      <w:bookmarkStart w:id="5" w:name="_How_to_learn"/>
      <w:bookmarkEnd w:id="4"/>
      <w:bookmarkEnd w:id="5"/>
      <w:r>
        <w:rPr>
          <w:bCs/>
        </w:rPr>
        <w:t>R</w:t>
      </w:r>
      <w:r w:rsidRPr="00010D21">
        <w:rPr>
          <w:bCs/>
        </w:rPr>
        <w:t>ead</w:t>
      </w:r>
      <w:r>
        <w:rPr>
          <w:bCs/>
        </w:rPr>
        <w:t>ing</w:t>
      </w:r>
      <w:r w:rsidRPr="00010D21">
        <w:rPr>
          <w:bCs/>
        </w:rPr>
        <w:t xml:space="preserve"> </w:t>
      </w:r>
      <w:r w:rsidRPr="005A5738">
        <w:rPr>
          <w:bCs/>
        </w:rPr>
        <w:t>braille</w:t>
      </w:r>
    </w:p>
    <w:p w14:paraId="2CB263D5" w14:textId="5EC63E75" w:rsidR="005A085C" w:rsidRDefault="005A085C" w:rsidP="005A085C">
      <w:r>
        <w:t xml:space="preserve">Braille is a tactile reading format which means it is read by touch rather than by sight. Braille is arranged in horizontal lines. </w:t>
      </w:r>
    </w:p>
    <w:p w14:paraId="43B59072" w14:textId="27D17D24" w:rsidR="005A085C" w:rsidRDefault="005A085C" w:rsidP="005A085C">
      <w:pPr>
        <w:pStyle w:val="ListParagraph"/>
        <w:numPr>
          <w:ilvl w:val="0"/>
          <w:numId w:val="10"/>
        </w:numPr>
        <w:spacing w:after="0" w:line="240" w:lineRule="auto"/>
        <w:ind w:left="360"/>
      </w:pPr>
      <w:r>
        <w:t xml:space="preserve">Have the braille placed at a comfortable distance in front of you, on a firm surface with enough space for you to read. </w:t>
      </w:r>
    </w:p>
    <w:p w14:paraId="53E00A07" w14:textId="77777777" w:rsidR="005A085C" w:rsidRDefault="005A085C" w:rsidP="005A085C">
      <w:pPr>
        <w:pStyle w:val="ListParagraph"/>
        <w:spacing w:after="0" w:line="240" w:lineRule="auto"/>
        <w:ind w:left="360"/>
      </w:pPr>
    </w:p>
    <w:p w14:paraId="17D55F73" w14:textId="65053BD1" w:rsidR="005A085C" w:rsidRDefault="005A085C" w:rsidP="005A085C">
      <w:pPr>
        <w:pStyle w:val="ListParagraph"/>
        <w:numPr>
          <w:ilvl w:val="0"/>
          <w:numId w:val="10"/>
        </w:numPr>
        <w:spacing w:after="0" w:line="240" w:lineRule="auto"/>
        <w:ind w:left="360"/>
      </w:pPr>
      <w:r>
        <w:t>Place your fingers on the page,</w:t>
      </w:r>
      <w:r w:rsidRPr="00F04879">
        <w:t xml:space="preserve"> </w:t>
      </w:r>
      <w:r>
        <w:t>slightly curving them so your fingertips can easily access the braille. Your arms should be at a comfortable level and your wrists should be slightly raised.</w:t>
      </w:r>
    </w:p>
    <w:p w14:paraId="68C966FF" w14:textId="77777777" w:rsidR="005A085C" w:rsidRDefault="005A085C" w:rsidP="005A085C">
      <w:pPr>
        <w:spacing w:after="0" w:line="240" w:lineRule="auto"/>
      </w:pPr>
    </w:p>
    <w:p w14:paraId="6027816F" w14:textId="5C4C47D4" w:rsidR="005A085C" w:rsidRDefault="005A085C" w:rsidP="005A085C">
      <w:pPr>
        <w:pStyle w:val="ListParagraph"/>
        <w:numPr>
          <w:ilvl w:val="0"/>
          <w:numId w:val="10"/>
        </w:numPr>
        <w:spacing w:after="0" w:line="240" w:lineRule="auto"/>
        <w:ind w:left="360"/>
      </w:pPr>
      <w:r>
        <w:t xml:space="preserve">Trace your fingertips from the left margin of the line to where it ends on the right. When you reach the right, trace your fingers back to the left margin and start reading from the next line below. </w:t>
      </w:r>
    </w:p>
    <w:p w14:paraId="4135669B" w14:textId="359DC663" w:rsidR="005A085C" w:rsidRPr="005A085C" w:rsidRDefault="005A085C" w:rsidP="005A085C">
      <w:pPr>
        <w:pStyle w:val="Heading2"/>
        <w:rPr>
          <w:b w:val="0"/>
          <w:bCs/>
        </w:rPr>
      </w:pPr>
      <w:bookmarkStart w:id="6" w:name="_How_to_write"/>
      <w:bookmarkEnd w:id="6"/>
      <w:r w:rsidRPr="002B2EAB">
        <w:rPr>
          <w:bCs/>
        </w:rPr>
        <w:t>How to write in braille</w:t>
      </w:r>
    </w:p>
    <w:p w14:paraId="0B63BD5A" w14:textId="00D0A5FA" w:rsidR="005A085C" w:rsidRDefault="005A085C" w:rsidP="005A085C">
      <w:r>
        <w:t>In pre-machine times, people used a slate with indents and a stylus to emboss the braille. These are still available today and come in different capacities: 1 line, 4 lines, and even A4 size.</w:t>
      </w:r>
    </w:p>
    <w:p w14:paraId="0C63D49B" w14:textId="4A02254F" w:rsidR="005A085C" w:rsidRDefault="005A085C" w:rsidP="005A085C">
      <w:r>
        <w:t xml:space="preserve">A Braille </w:t>
      </w:r>
      <w:proofErr w:type="spellStart"/>
      <w:r w:rsidR="00294B97">
        <w:t>Labeler</w:t>
      </w:r>
      <w:proofErr w:type="spellEnd"/>
      <w:r>
        <w:t xml:space="preserve"> can emboss braille on thin adhesive labels.</w:t>
      </w:r>
      <w:r w:rsidR="00294B97">
        <w:t xml:space="preserve"> Applying braille labels to belongings assists in item identification.</w:t>
      </w:r>
    </w:p>
    <w:p w14:paraId="5BDFBD17" w14:textId="22B6AE03" w:rsidR="005A085C" w:rsidRDefault="005A085C" w:rsidP="005A085C">
      <w:r>
        <w:t xml:space="preserve">There are different styles of manual braille machines, similar to old fashioned </w:t>
      </w:r>
      <w:r w:rsidR="00294B97">
        <w:t>typewriters</w:t>
      </w:r>
      <w:r>
        <w:t xml:space="preserve">. Paper can be fed into the machine, then the braille is </w:t>
      </w:r>
      <w:r w:rsidRPr="00F150B1">
        <w:t>embossed</w:t>
      </w:r>
      <w:r>
        <w:t xml:space="preserve"> by pressing keys which correspond to each braille dot.</w:t>
      </w:r>
    </w:p>
    <w:p w14:paraId="30D26173" w14:textId="0890E783" w:rsidR="005A085C" w:rsidRDefault="005A085C" w:rsidP="005A085C">
      <w:r>
        <w:t xml:space="preserve">There are modern electronic braille devices which offer greater functionality and connectivity. Special manufacturing companies have created a variety of devices for different uses. Some act as a display for a computer or smart phone device. Other devices are </w:t>
      </w:r>
      <w:proofErr w:type="spellStart"/>
      <w:r>
        <w:t>stand alone</w:t>
      </w:r>
      <w:proofErr w:type="spellEnd"/>
      <w:r>
        <w:t xml:space="preserve"> note takers with a full suite of applications like any other computer. </w:t>
      </w:r>
    </w:p>
    <w:p w14:paraId="6D695DB4" w14:textId="59EA3951" w:rsidR="005A085C" w:rsidRDefault="005A085C" w:rsidP="005A085C">
      <w:r>
        <w:t xml:space="preserve">Braille can also be printed using an </w:t>
      </w:r>
      <w:r w:rsidRPr="00F150B1">
        <w:t>embosser</w:t>
      </w:r>
      <w:r>
        <w:t xml:space="preserve">. These work faster and are used for personal and commercial production. They involve a connectable </w:t>
      </w:r>
      <w:r>
        <w:t xml:space="preserve">device such as a computer.  The device then sends the information for embossing. After this, the embosser starts printing like any other printer. Braille is </w:t>
      </w:r>
      <w:r w:rsidRPr="00491944">
        <w:t>embossed</w:t>
      </w:r>
      <w:r>
        <w:t xml:space="preserve"> on braille grade paper. This is thicker than standard grade paper, so that the dots can maintain their shape and firmness.</w:t>
      </w:r>
    </w:p>
    <w:p w14:paraId="7A55C64F" w14:textId="12DB737E" w:rsidR="005A085C" w:rsidRPr="005A085C" w:rsidRDefault="005A085C" w:rsidP="005A085C">
      <w:pPr>
        <w:pStyle w:val="Heading2"/>
        <w:rPr>
          <w:b w:val="0"/>
          <w:bCs/>
        </w:rPr>
      </w:pPr>
      <w:r w:rsidRPr="007D5906">
        <w:rPr>
          <w:bCs/>
        </w:rPr>
        <w:t xml:space="preserve">Learning and </w:t>
      </w:r>
      <w:r>
        <w:rPr>
          <w:bCs/>
        </w:rPr>
        <w:t>u</w:t>
      </w:r>
      <w:r w:rsidRPr="007D5906">
        <w:rPr>
          <w:bCs/>
        </w:rPr>
        <w:t xml:space="preserve">sing </w:t>
      </w:r>
      <w:r w:rsidR="002C0077">
        <w:rPr>
          <w:bCs/>
        </w:rPr>
        <w:t>b</w:t>
      </w:r>
      <w:r w:rsidRPr="007D5906">
        <w:rPr>
          <w:bCs/>
        </w:rPr>
        <w:t>raille</w:t>
      </w:r>
    </w:p>
    <w:p w14:paraId="39D0CE16" w14:textId="7656F394" w:rsidR="005A085C" w:rsidRDefault="005A085C" w:rsidP="005A085C">
      <w:r>
        <w:t>Organisations providing services to people who are blind may offer braille services. They can help you learn to read and write braille, help you to use braille at home and in the community, may sell braille equipment, have a braille library and also may produce braille materials for you.</w:t>
      </w:r>
    </w:p>
    <w:p w14:paraId="65AABEDF" w14:textId="77777777" w:rsidR="00294B97" w:rsidRDefault="00294B97" w:rsidP="00294B97">
      <w:r>
        <w:t>Other applications for braille include</w:t>
      </w:r>
    </w:p>
    <w:p w14:paraId="4DF257B8" w14:textId="4E508A31" w:rsidR="00294B97" w:rsidRDefault="005A085C" w:rsidP="00294B97">
      <w:pPr>
        <w:pStyle w:val="ListParagraph"/>
        <w:numPr>
          <w:ilvl w:val="0"/>
          <w:numId w:val="12"/>
        </w:numPr>
        <w:ind w:left="360"/>
      </w:pPr>
      <w:r>
        <w:t xml:space="preserve">board and card games </w:t>
      </w:r>
      <w:r w:rsidR="00294B97">
        <w:t xml:space="preserve">that </w:t>
      </w:r>
      <w:r>
        <w:t xml:space="preserve">have braille symbols enable people with differing </w:t>
      </w:r>
      <w:r w:rsidR="00294B97">
        <w:t>levels of vision</w:t>
      </w:r>
      <w:r>
        <w:t xml:space="preserve"> to play together</w:t>
      </w:r>
    </w:p>
    <w:p w14:paraId="36873520" w14:textId="77777777" w:rsidR="00294B97" w:rsidRDefault="00294B97" w:rsidP="00294B97">
      <w:pPr>
        <w:pStyle w:val="ListParagraph"/>
        <w:ind w:left="360"/>
      </w:pPr>
    </w:p>
    <w:p w14:paraId="447C88DD" w14:textId="77777777" w:rsidR="00294B97" w:rsidRDefault="00294B97" w:rsidP="00294B97">
      <w:pPr>
        <w:pStyle w:val="ListParagraph"/>
        <w:numPr>
          <w:ilvl w:val="0"/>
          <w:numId w:val="11"/>
        </w:numPr>
        <w:spacing w:after="0" w:line="240" w:lineRule="auto"/>
        <w:ind w:left="360"/>
      </w:pPr>
      <w:r>
        <w:t>e</w:t>
      </w:r>
      <w:r w:rsidR="005A085C">
        <w:t xml:space="preserve">levators in public buildings will have braille labels on the buttons to </w:t>
      </w:r>
      <w:r>
        <w:t>assist independent operation</w:t>
      </w:r>
    </w:p>
    <w:p w14:paraId="78FD7D3D" w14:textId="77777777" w:rsidR="00294B97" w:rsidRDefault="00294B97" w:rsidP="00294B97">
      <w:pPr>
        <w:pStyle w:val="ListParagraph"/>
        <w:spacing w:after="0" w:line="240" w:lineRule="auto"/>
        <w:ind w:left="360"/>
      </w:pPr>
    </w:p>
    <w:p w14:paraId="3D09C80A" w14:textId="4810B663" w:rsidR="005A085C" w:rsidRDefault="00294B97" w:rsidP="00294B97">
      <w:pPr>
        <w:pStyle w:val="ListParagraph"/>
        <w:numPr>
          <w:ilvl w:val="0"/>
          <w:numId w:val="11"/>
        </w:numPr>
        <w:spacing w:after="0" w:line="240" w:lineRule="auto"/>
        <w:ind w:left="360"/>
      </w:pPr>
      <w:r>
        <w:t>b</w:t>
      </w:r>
      <w:r w:rsidR="005A085C">
        <w:t xml:space="preserve">athrooms in public places will have braille </w:t>
      </w:r>
      <w:r>
        <w:t xml:space="preserve">on the bathroom </w:t>
      </w:r>
      <w:r w:rsidR="005A085C">
        <w:t>signs</w:t>
      </w:r>
    </w:p>
    <w:p w14:paraId="20109A17" w14:textId="77777777" w:rsidR="00294B97" w:rsidRDefault="00294B97" w:rsidP="00294B97">
      <w:pPr>
        <w:spacing w:after="0" w:line="240" w:lineRule="auto"/>
      </w:pPr>
    </w:p>
    <w:p w14:paraId="161B8947" w14:textId="072602B6" w:rsidR="005A085C" w:rsidRDefault="00294B97" w:rsidP="00C73F1C">
      <w:pPr>
        <w:pStyle w:val="ListParagraph"/>
        <w:numPr>
          <w:ilvl w:val="0"/>
          <w:numId w:val="11"/>
        </w:numPr>
        <w:spacing w:after="0" w:line="240" w:lineRule="auto"/>
        <w:ind w:left="360"/>
      </w:pPr>
      <w:r>
        <w:t>s</w:t>
      </w:r>
      <w:r w:rsidR="005A085C">
        <w:t xml:space="preserve">ome restaurants have braille menus </w:t>
      </w:r>
      <w:r>
        <w:t xml:space="preserve">to assist </w:t>
      </w:r>
      <w:r w:rsidR="005A085C">
        <w:t xml:space="preserve">independent </w:t>
      </w:r>
      <w:r>
        <w:t>ordering</w:t>
      </w:r>
    </w:p>
    <w:p w14:paraId="1BD0034E" w14:textId="77777777" w:rsidR="005A085C" w:rsidRPr="005A085C" w:rsidRDefault="005A085C" w:rsidP="005A085C">
      <w:pPr>
        <w:spacing w:after="0" w:line="240" w:lineRule="auto"/>
      </w:pPr>
    </w:p>
    <w:p w14:paraId="44527949" w14:textId="77777777" w:rsidR="00294B97" w:rsidRDefault="00294B97" w:rsidP="00CE1607">
      <w:pPr>
        <w:rPr>
          <w:lang w:val="en-US"/>
        </w:rPr>
      </w:pPr>
    </w:p>
    <w:p w14:paraId="7EB082D9" w14:textId="4431C4AA" w:rsidR="002F117F" w:rsidRDefault="00251963" w:rsidP="00CE1607">
      <w:pPr>
        <w:rPr>
          <w:lang w:val="en-US"/>
        </w:rPr>
      </w:pPr>
      <w:r w:rsidRPr="00C515FC">
        <w:rPr>
          <w:lang w:val="en-US"/>
        </w:rPr>
        <w:t xml:space="preserve">Published: </w:t>
      </w:r>
      <w:r w:rsidR="005A085C">
        <w:rPr>
          <w:lang w:val="en-US"/>
        </w:rPr>
        <w:t>November 2023</w:t>
      </w:r>
    </w:p>
    <w:sectPr w:rsidR="002F117F" w:rsidSect="0031306B">
      <w:type w:val="continuous"/>
      <w:pgSz w:w="11900" w:h="16840"/>
      <w:pgMar w:top="1134" w:right="1298" w:bottom="1418" w:left="1247" w:header="567" w:footer="567"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D2CB1" w14:textId="77777777" w:rsidR="00753F8C" w:rsidRDefault="00753F8C" w:rsidP="00CE1607">
      <w:r>
        <w:separator/>
      </w:r>
    </w:p>
  </w:endnote>
  <w:endnote w:type="continuationSeparator" w:id="0">
    <w:p w14:paraId="706E807E" w14:textId="77777777" w:rsidR="00753F8C" w:rsidRDefault="00753F8C" w:rsidP="00CE1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Proxima Nova Rg">
    <w:altName w:val="Tahoma"/>
    <w:panose1 w:val="02000506030000020004"/>
    <w:charset w:val="00"/>
    <w:family w:val="auto"/>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ProximaNova-Regular">
    <w:altName w:val="Calibri"/>
    <w:panose1 w:val="02000506030000020004"/>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574E0" w14:textId="77777777" w:rsidR="00E01509" w:rsidRDefault="0068747D" w:rsidP="00B87F7F">
    <w:pPr>
      <w:pStyle w:val="Footer"/>
    </w:pPr>
    <w:r>
      <w:rPr>
        <w:noProof/>
      </w:rPr>
      <w:drawing>
        <wp:anchor distT="0" distB="0" distL="114300" distR="114300" simplePos="0" relativeHeight="251659264" behindDoc="0" locked="0" layoutInCell="1" allowOverlap="1" wp14:anchorId="52716048" wp14:editId="6287990C">
          <wp:simplePos x="0" y="0"/>
          <wp:positionH relativeFrom="margin">
            <wp:posOffset>-184785</wp:posOffset>
          </wp:positionH>
          <wp:positionV relativeFrom="paragraph">
            <wp:posOffset>-137172</wp:posOffset>
          </wp:positionV>
          <wp:extent cx="6318690" cy="447114"/>
          <wp:effectExtent l="0" t="0" r="6350" b="0"/>
          <wp:wrapNone/>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318690" cy="447114"/>
                  </a:xfrm>
                  <a:prstGeom prst="rect">
                    <a:avLst/>
                  </a:prstGeom>
                </pic:spPr>
              </pic:pic>
            </a:graphicData>
          </a:graphic>
          <wp14:sizeRelH relativeFrom="margin">
            <wp14:pctWidth>0</wp14:pctWidth>
          </wp14:sizeRelH>
          <wp14:sizeRelV relativeFrom="margin">
            <wp14:pctHeight>0</wp14:pctHeight>
          </wp14:sizeRelV>
        </wp:anchor>
      </w:drawing>
    </w:r>
    <w:sdt>
      <w:sdtPr>
        <w:rPr>
          <w:rFonts w:ascii="Arial" w:eastAsia="Arial" w:hAnsi="Arial" w:cs="Times New Roman"/>
          <w:szCs w:val="24"/>
        </w:rPr>
        <w:id w:val="-226918932"/>
        <w:docPartObj>
          <w:docPartGallery w:val="Page Numbers (Bottom of Page)"/>
          <w:docPartUnique/>
        </w:docPartObj>
      </w:sdtPr>
      <w:sdtEndPr>
        <w:rPr>
          <w:b/>
          <w:bCs/>
          <w:noProof/>
          <w:color w:val="000050"/>
        </w:rPr>
      </w:sdtEndPr>
      <w:sdtContent>
        <w:r w:rsidR="00E01509" w:rsidRPr="00E01509">
          <w:rPr>
            <w:rFonts w:ascii="Arial" w:eastAsia="Arial" w:hAnsi="Arial" w:cs="Times New Roman"/>
            <w:b/>
            <w:bCs/>
            <w:color w:val="000050"/>
            <w:szCs w:val="24"/>
          </w:rPr>
          <w:fldChar w:fldCharType="begin"/>
        </w:r>
        <w:r w:rsidR="00E01509" w:rsidRPr="00E01509">
          <w:rPr>
            <w:rFonts w:ascii="Arial" w:eastAsia="Arial" w:hAnsi="Arial" w:cs="Times New Roman"/>
            <w:b/>
            <w:bCs/>
            <w:color w:val="000050"/>
            <w:szCs w:val="24"/>
          </w:rPr>
          <w:instrText xml:space="preserve"> PAGE   \* MERGEFORMAT </w:instrText>
        </w:r>
        <w:r w:rsidR="00E01509" w:rsidRPr="00E01509">
          <w:rPr>
            <w:rFonts w:ascii="Arial" w:eastAsia="Arial" w:hAnsi="Arial" w:cs="Times New Roman"/>
            <w:b/>
            <w:bCs/>
            <w:color w:val="000050"/>
            <w:szCs w:val="24"/>
          </w:rPr>
          <w:fldChar w:fldCharType="separate"/>
        </w:r>
        <w:r w:rsidR="00E01509" w:rsidRPr="00E01509">
          <w:rPr>
            <w:rFonts w:ascii="Arial" w:eastAsia="Arial" w:hAnsi="Arial" w:cs="Times New Roman"/>
            <w:b/>
            <w:bCs/>
            <w:color w:val="000050"/>
            <w:szCs w:val="24"/>
          </w:rPr>
          <w:t>1</w:t>
        </w:r>
        <w:r w:rsidR="00E01509" w:rsidRPr="00E01509">
          <w:rPr>
            <w:rFonts w:ascii="Arial" w:eastAsia="Arial" w:hAnsi="Arial" w:cs="Times New Roman"/>
            <w:b/>
            <w:bCs/>
            <w:noProof/>
            <w:color w:val="000050"/>
            <w:szCs w:val="2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6D61C" w14:textId="77777777" w:rsidR="00E01509" w:rsidRDefault="00000000">
    <w:pPr>
      <w:pStyle w:val="Footer"/>
    </w:pPr>
    <w:sdt>
      <w:sdtPr>
        <w:rPr>
          <w:rFonts w:ascii="Arial" w:eastAsia="Arial" w:hAnsi="Arial" w:cs="Times New Roman"/>
          <w:szCs w:val="24"/>
        </w:rPr>
        <w:id w:val="-1889024181"/>
        <w:docPartObj>
          <w:docPartGallery w:val="Page Numbers (Bottom of Page)"/>
          <w:docPartUnique/>
        </w:docPartObj>
      </w:sdtPr>
      <w:sdtEndPr>
        <w:rPr>
          <w:b/>
          <w:bCs/>
          <w:noProof/>
          <w:color w:val="000050"/>
        </w:rPr>
      </w:sdtEndPr>
      <w:sdtContent>
        <w:r w:rsidR="00E01509" w:rsidRPr="00E01509">
          <w:rPr>
            <w:rFonts w:ascii="Arial" w:eastAsia="Arial" w:hAnsi="Arial" w:cs="Times New Roman"/>
            <w:b/>
            <w:bCs/>
            <w:color w:val="000050"/>
            <w:szCs w:val="24"/>
          </w:rPr>
          <w:fldChar w:fldCharType="begin"/>
        </w:r>
        <w:r w:rsidR="00E01509" w:rsidRPr="00E01509">
          <w:rPr>
            <w:rFonts w:ascii="Arial" w:eastAsia="Arial" w:hAnsi="Arial" w:cs="Times New Roman"/>
            <w:b/>
            <w:bCs/>
            <w:color w:val="000050"/>
            <w:szCs w:val="24"/>
          </w:rPr>
          <w:instrText xml:space="preserve"> PAGE   \* MERGEFORMAT </w:instrText>
        </w:r>
        <w:r w:rsidR="00E01509" w:rsidRPr="00E01509">
          <w:rPr>
            <w:rFonts w:ascii="Arial" w:eastAsia="Arial" w:hAnsi="Arial" w:cs="Times New Roman"/>
            <w:b/>
            <w:bCs/>
            <w:color w:val="000050"/>
            <w:szCs w:val="24"/>
          </w:rPr>
          <w:fldChar w:fldCharType="separate"/>
        </w:r>
        <w:r w:rsidR="00E01509" w:rsidRPr="00E01509">
          <w:rPr>
            <w:rFonts w:ascii="Arial" w:eastAsia="Arial" w:hAnsi="Arial" w:cs="Times New Roman"/>
            <w:b/>
            <w:bCs/>
            <w:color w:val="000050"/>
            <w:szCs w:val="24"/>
          </w:rPr>
          <w:t>1</w:t>
        </w:r>
        <w:r w:rsidR="00E01509" w:rsidRPr="00E01509">
          <w:rPr>
            <w:rFonts w:ascii="Arial" w:eastAsia="Arial" w:hAnsi="Arial" w:cs="Times New Roman"/>
            <w:b/>
            <w:bCs/>
            <w:noProof/>
            <w:color w:val="000050"/>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BF60F" w14:textId="77777777" w:rsidR="00753F8C" w:rsidRDefault="00753F8C" w:rsidP="00CE1607">
      <w:r>
        <w:separator/>
      </w:r>
    </w:p>
  </w:footnote>
  <w:footnote w:type="continuationSeparator" w:id="0">
    <w:p w14:paraId="4AB7C425" w14:textId="77777777" w:rsidR="00753F8C" w:rsidRDefault="00753F8C" w:rsidP="00CE16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7BBE"/>
    <w:multiLevelType w:val="hybridMultilevel"/>
    <w:tmpl w:val="034CC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92A2A"/>
    <w:multiLevelType w:val="hybridMultilevel"/>
    <w:tmpl w:val="EA963088"/>
    <w:lvl w:ilvl="0" w:tplc="77A0A546">
      <w:numFmt w:val="bullet"/>
      <w:lvlText w:val=""/>
      <w:lvlJc w:val="left"/>
      <w:pPr>
        <w:ind w:left="720" w:hanging="360"/>
      </w:pPr>
      <w:rPr>
        <w:rFonts w:ascii="Symbol" w:eastAsiaTheme="minorHAnsi" w:hAnsi="Symbol" w:cs="Proxima Nova Rg"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FD43F0"/>
    <w:multiLevelType w:val="hybridMultilevel"/>
    <w:tmpl w:val="CCDA72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1EA6B86"/>
    <w:multiLevelType w:val="hybridMultilevel"/>
    <w:tmpl w:val="12083E70"/>
    <w:lvl w:ilvl="0" w:tplc="3E6E7536">
      <w:start w:val="1"/>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48D1370"/>
    <w:multiLevelType w:val="hybridMultilevel"/>
    <w:tmpl w:val="D5780596"/>
    <w:lvl w:ilvl="0" w:tplc="0188FD52">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805DF9"/>
    <w:multiLevelType w:val="hybridMultilevel"/>
    <w:tmpl w:val="5CAE0458"/>
    <w:lvl w:ilvl="0" w:tplc="88DE2CF0">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331E3ADF"/>
    <w:multiLevelType w:val="hybridMultilevel"/>
    <w:tmpl w:val="DD92B3BE"/>
    <w:lvl w:ilvl="0" w:tplc="D034D396">
      <w:start w:val="1"/>
      <w:numFmt w:val="decimal"/>
      <w:lvlText w:val="%1."/>
      <w:lvlJc w:val="left"/>
      <w:pPr>
        <w:ind w:left="720" w:hanging="360"/>
      </w:pPr>
      <w:rPr>
        <w:rFonts w:ascii="Arial" w:hAnsi="Arial" w:cs="Arial" w:hint="default"/>
        <w:color w:val="00000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2724AA3"/>
    <w:multiLevelType w:val="hybridMultilevel"/>
    <w:tmpl w:val="8758CFBC"/>
    <w:lvl w:ilvl="0" w:tplc="DFE8613A">
      <w:start w:val="1"/>
      <w:numFmt w:val="bullet"/>
      <w:pStyle w:val="ListBulle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F6F193B"/>
    <w:multiLevelType w:val="multilevel"/>
    <w:tmpl w:val="3716A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084CC7"/>
    <w:multiLevelType w:val="hybridMultilevel"/>
    <w:tmpl w:val="42425A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C4E383A"/>
    <w:multiLevelType w:val="hybridMultilevel"/>
    <w:tmpl w:val="9F38C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10126F"/>
    <w:multiLevelType w:val="hybridMultilevel"/>
    <w:tmpl w:val="A66031DE"/>
    <w:lvl w:ilvl="0" w:tplc="649AFE44">
      <w:start w:val="1"/>
      <w:numFmt w:val="bullet"/>
      <w:lvlText w:val=""/>
      <w:lvlJc w:val="left"/>
      <w:pPr>
        <w:ind w:left="397"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3424623">
    <w:abstractNumId w:val="0"/>
  </w:num>
  <w:num w:numId="2" w16cid:durableId="36973326">
    <w:abstractNumId w:val="11"/>
  </w:num>
  <w:num w:numId="3" w16cid:durableId="113644643">
    <w:abstractNumId w:val="4"/>
  </w:num>
  <w:num w:numId="4" w16cid:durableId="718824364">
    <w:abstractNumId w:val="6"/>
  </w:num>
  <w:num w:numId="5" w16cid:durableId="503519224">
    <w:abstractNumId w:val="3"/>
  </w:num>
  <w:num w:numId="6" w16cid:durableId="554513986">
    <w:abstractNumId w:val="1"/>
  </w:num>
  <w:num w:numId="7" w16cid:durableId="604657363">
    <w:abstractNumId w:val="5"/>
  </w:num>
  <w:num w:numId="8" w16cid:durableId="1986543586">
    <w:abstractNumId w:val="8"/>
  </w:num>
  <w:num w:numId="9" w16cid:durableId="1912155160">
    <w:abstractNumId w:val="7"/>
  </w:num>
  <w:num w:numId="10" w16cid:durableId="2073964259">
    <w:abstractNumId w:val="2"/>
  </w:num>
  <w:num w:numId="11" w16cid:durableId="1367288392">
    <w:abstractNumId w:val="9"/>
  </w:num>
  <w:num w:numId="12" w16cid:durableId="17410562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9"/>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85C"/>
    <w:rsid w:val="000158E7"/>
    <w:rsid w:val="00050A26"/>
    <w:rsid w:val="00070CBE"/>
    <w:rsid w:val="000D2147"/>
    <w:rsid w:val="000E23CA"/>
    <w:rsid w:val="000E6AE3"/>
    <w:rsid w:val="000F7304"/>
    <w:rsid w:val="00107105"/>
    <w:rsid w:val="00134523"/>
    <w:rsid w:val="00153AE9"/>
    <w:rsid w:val="001B7CED"/>
    <w:rsid w:val="001D597F"/>
    <w:rsid w:val="002050B5"/>
    <w:rsid w:val="002500C0"/>
    <w:rsid w:val="00251963"/>
    <w:rsid w:val="00253FF3"/>
    <w:rsid w:val="002651B5"/>
    <w:rsid w:val="00294B97"/>
    <w:rsid w:val="002967D6"/>
    <w:rsid w:val="002B3D44"/>
    <w:rsid w:val="002C0077"/>
    <w:rsid w:val="002F0D90"/>
    <w:rsid w:val="002F117F"/>
    <w:rsid w:val="002F2E44"/>
    <w:rsid w:val="00301452"/>
    <w:rsid w:val="0031306B"/>
    <w:rsid w:val="0031692E"/>
    <w:rsid w:val="00335E27"/>
    <w:rsid w:val="00357EFE"/>
    <w:rsid w:val="00366F74"/>
    <w:rsid w:val="00380FEB"/>
    <w:rsid w:val="00396564"/>
    <w:rsid w:val="003B348D"/>
    <w:rsid w:val="003B451B"/>
    <w:rsid w:val="003B5151"/>
    <w:rsid w:val="003C1449"/>
    <w:rsid w:val="003E550E"/>
    <w:rsid w:val="004014FF"/>
    <w:rsid w:val="00411414"/>
    <w:rsid w:val="0041584D"/>
    <w:rsid w:val="0044701A"/>
    <w:rsid w:val="00465F13"/>
    <w:rsid w:val="004739EC"/>
    <w:rsid w:val="004852F3"/>
    <w:rsid w:val="0049193C"/>
    <w:rsid w:val="0049248D"/>
    <w:rsid w:val="004B52E4"/>
    <w:rsid w:val="004B7665"/>
    <w:rsid w:val="004C147E"/>
    <w:rsid w:val="004D7CAF"/>
    <w:rsid w:val="004E1FF9"/>
    <w:rsid w:val="004F4D84"/>
    <w:rsid w:val="004F5E80"/>
    <w:rsid w:val="00500ED3"/>
    <w:rsid w:val="0057552E"/>
    <w:rsid w:val="00597B19"/>
    <w:rsid w:val="005A085C"/>
    <w:rsid w:val="005D4317"/>
    <w:rsid w:val="005F0BED"/>
    <w:rsid w:val="00627802"/>
    <w:rsid w:val="006457EA"/>
    <w:rsid w:val="006715A3"/>
    <w:rsid w:val="0068747D"/>
    <w:rsid w:val="0072595C"/>
    <w:rsid w:val="007371B2"/>
    <w:rsid w:val="00753F8C"/>
    <w:rsid w:val="00770BCF"/>
    <w:rsid w:val="00777E9E"/>
    <w:rsid w:val="007A18C1"/>
    <w:rsid w:val="007A426F"/>
    <w:rsid w:val="007B667F"/>
    <w:rsid w:val="007B6A65"/>
    <w:rsid w:val="007C38F5"/>
    <w:rsid w:val="007C3A5F"/>
    <w:rsid w:val="007F0A8C"/>
    <w:rsid w:val="007F30B5"/>
    <w:rsid w:val="007F42B0"/>
    <w:rsid w:val="00800015"/>
    <w:rsid w:val="008372CE"/>
    <w:rsid w:val="00891BD1"/>
    <w:rsid w:val="008A4B99"/>
    <w:rsid w:val="008E2F75"/>
    <w:rsid w:val="008E47E3"/>
    <w:rsid w:val="00931848"/>
    <w:rsid w:val="00965F2A"/>
    <w:rsid w:val="0098361B"/>
    <w:rsid w:val="009A451E"/>
    <w:rsid w:val="009F3426"/>
    <w:rsid w:val="00A02414"/>
    <w:rsid w:val="00A03D5E"/>
    <w:rsid w:val="00A30491"/>
    <w:rsid w:val="00A523D5"/>
    <w:rsid w:val="00A56F2C"/>
    <w:rsid w:val="00A66231"/>
    <w:rsid w:val="00A80D4E"/>
    <w:rsid w:val="00A855B0"/>
    <w:rsid w:val="00A90B01"/>
    <w:rsid w:val="00A95A26"/>
    <w:rsid w:val="00AC14FE"/>
    <w:rsid w:val="00AF28AD"/>
    <w:rsid w:val="00B01470"/>
    <w:rsid w:val="00B05675"/>
    <w:rsid w:val="00B41AE2"/>
    <w:rsid w:val="00B74B1C"/>
    <w:rsid w:val="00B7526C"/>
    <w:rsid w:val="00B77C7E"/>
    <w:rsid w:val="00B87F7F"/>
    <w:rsid w:val="00B93493"/>
    <w:rsid w:val="00BE5DC9"/>
    <w:rsid w:val="00BE77CB"/>
    <w:rsid w:val="00C07534"/>
    <w:rsid w:val="00C11F1D"/>
    <w:rsid w:val="00C515FC"/>
    <w:rsid w:val="00C54DF4"/>
    <w:rsid w:val="00CB3F5C"/>
    <w:rsid w:val="00CB41BC"/>
    <w:rsid w:val="00CC1FE4"/>
    <w:rsid w:val="00CD28EC"/>
    <w:rsid w:val="00CE1607"/>
    <w:rsid w:val="00D10ECE"/>
    <w:rsid w:val="00D11F86"/>
    <w:rsid w:val="00D43933"/>
    <w:rsid w:val="00D50793"/>
    <w:rsid w:val="00D61E06"/>
    <w:rsid w:val="00D922BC"/>
    <w:rsid w:val="00D9766A"/>
    <w:rsid w:val="00DA3B3E"/>
    <w:rsid w:val="00DB7D75"/>
    <w:rsid w:val="00DC1CDE"/>
    <w:rsid w:val="00DC7FC0"/>
    <w:rsid w:val="00DD67D2"/>
    <w:rsid w:val="00DF0662"/>
    <w:rsid w:val="00DF0924"/>
    <w:rsid w:val="00DF1517"/>
    <w:rsid w:val="00E01509"/>
    <w:rsid w:val="00E033F0"/>
    <w:rsid w:val="00E1268C"/>
    <w:rsid w:val="00E3422D"/>
    <w:rsid w:val="00E41033"/>
    <w:rsid w:val="00E46EDF"/>
    <w:rsid w:val="00E537CC"/>
    <w:rsid w:val="00E72487"/>
    <w:rsid w:val="00E77D1F"/>
    <w:rsid w:val="00E97A42"/>
    <w:rsid w:val="00EA6B90"/>
    <w:rsid w:val="00ED3D6F"/>
    <w:rsid w:val="00EF18BA"/>
    <w:rsid w:val="00EF301F"/>
    <w:rsid w:val="00F61196"/>
    <w:rsid w:val="00F64E05"/>
    <w:rsid w:val="00FA63A4"/>
    <w:rsid w:val="00FC256B"/>
    <w:rsid w:val="00FE46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9AE5E"/>
  <w15:chartTrackingRefBased/>
  <w15:docId w15:val="{A1900E21-BDF9-CD4A-9D4D-E770317E1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105"/>
    <w:pPr>
      <w:spacing w:after="240" w:line="312" w:lineRule="auto"/>
    </w:pPr>
    <w:rPr>
      <w:szCs w:val="20"/>
    </w:rPr>
  </w:style>
  <w:style w:type="paragraph" w:styleId="Heading1">
    <w:name w:val="heading 1"/>
    <w:basedOn w:val="Normal"/>
    <w:next w:val="Normal"/>
    <w:link w:val="Heading1Char"/>
    <w:autoRedefine/>
    <w:uiPriority w:val="1"/>
    <w:qFormat/>
    <w:rsid w:val="00E01509"/>
    <w:pPr>
      <w:autoSpaceDE w:val="0"/>
      <w:autoSpaceDN w:val="0"/>
      <w:adjustRightInd w:val="0"/>
      <w:spacing w:before="720" w:after="0" w:line="360" w:lineRule="auto"/>
      <w:textAlignment w:val="center"/>
      <w:outlineLvl w:val="0"/>
    </w:pPr>
    <w:rPr>
      <w:rFonts w:ascii="Arial" w:hAnsi="Arial" w:cs="Arial"/>
      <w:b/>
      <w:bCs/>
      <w:color w:val="0C1E63"/>
      <w:sz w:val="44"/>
      <w:szCs w:val="44"/>
      <w:lang w:val="en-US"/>
    </w:rPr>
  </w:style>
  <w:style w:type="paragraph" w:styleId="Heading2">
    <w:name w:val="heading 2"/>
    <w:basedOn w:val="Normal"/>
    <w:next w:val="Normal"/>
    <w:link w:val="Heading2Char"/>
    <w:uiPriority w:val="1"/>
    <w:qFormat/>
    <w:rsid w:val="00107105"/>
    <w:pPr>
      <w:keepNext/>
      <w:keepLines/>
      <w:spacing w:before="240" w:after="120"/>
      <w:outlineLvl w:val="1"/>
    </w:pPr>
    <w:rPr>
      <w:rFonts w:eastAsiaTheme="majorEastAsia" w:cstheme="majorBidi"/>
      <w:b/>
      <w:color w:val="002060"/>
      <w:sz w:val="32"/>
      <w:szCs w:val="26"/>
    </w:rPr>
  </w:style>
  <w:style w:type="paragraph" w:styleId="Heading3">
    <w:name w:val="heading 3"/>
    <w:basedOn w:val="Normal"/>
    <w:next w:val="Normal"/>
    <w:link w:val="Heading3Char"/>
    <w:uiPriority w:val="1"/>
    <w:qFormat/>
    <w:rsid w:val="00107105"/>
    <w:pPr>
      <w:keepNext/>
      <w:keepLines/>
      <w:spacing w:before="60" w:after="120"/>
      <w:outlineLvl w:val="2"/>
    </w:pPr>
    <w:rPr>
      <w:rFonts w:eastAsiaTheme="majorEastAsia" w:cstheme="majorBidi"/>
      <w:b/>
      <w:color w:val="000050" w:themeColor="accent1"/>
      <w:sz w:val="28"/>
      <w:szCs w:val="24"/>
    </w:rPr>
  </w:style>
  <w:style w:type="paragraph" w:styleId="Heading4">
    <w:name w:val="heading 4"/>
    <w:basedOn w:val="Normal"/>
    <w:next w:val="Normal"/>
    <w:link w:val="Heading4Char"/>
    <w:uiPriority w:val="1"/>
    <w:qFormat/>
    <w:rsid w:val="00107105"/>
    <w:pPr>
      <w:keepNext/>
      <w:keepLines/>
      <w:spacing w:before="40" w:after="0"/>
      <w:outlineLvl w:val="3"/>
    </w:pPr>
    <w:rPr>
      <w:rFonts w:eastAsiaTheme="majorEastAsia" w:cstheme="majorBidi"/>
      <w:b/>
      <w:iCs/>
      <w:color w:val="00003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7F42B0"/>
    <w:pPr>
      <w:pBdr>
        <w:top w:val="single" w:sz="4" w:space="10" w:color="000050" w:themeColor="accent1"/>
        <w:bottom w:val="single" w:sz="4" w:space="10" w:color="000050" w:themeColor="accent1"/>
      </w:pBdr>
      <w:spacing w:before="360" w:after="360"/>
      <w:ind w:left="864" w:right="864"/>
      <w:jc w:val="center"/>
    </w:pPr>
    <w:rPr>
      <w:i/>
      <w:iCs/>
      <w:color w:val="0C1E63"/>
    </w:rPr>
  </w:style>
  <w:style w:type="character" w:customStyle="1" w:styleId="IntenseQuoteChar">
    <w:name w:val="Intense Quote Char"/>
    <w:basedOn w:val="DefaultParagraphFont"/>
    <w:link w:val="IntenseQuote"/>
    <w:uiPriority w:val="30"/>
    <w:rsid w:val="007F42B0"/>
    <w:rPr>
      <w:i/>
      <w:iCs/>
      <w:color w:val="0C1E63"/>
    </w:rPr>
  </w:style>
  <w:style w:type="character" w:styleId="IntenseReference">
    <w:name w:val="Intense Reference"/>
    <w:basedOn w:val="DefaultParagraphFont"/>
    <w:uiPriority w:val="32"/>
    <w:qFormat/>
    <w:rsid w:val="007F42B0"/>
    <w:rPr>
      <w:b/>
      <w:bCs/>
      <w:smallCaps/>
      <w:color w:val="0C1E63"/>
      <w:spacing w:val="5"/>
    </w:rPr>
  </w:style>
  <w:style w:type="character" w:styleId="IntenseEmphasis">
    <w:name w:val="Intense Emphasis"/>
    <w:basedOn w:val="DefaultParagraphFont"/>
    <w:uiPriority w:val="21"/>
    <w:qFormat/>
    <w:rsid w:val="007F42B0"/>
    <w:rPr>
      <w:i/>
      <w:iCs/>
      <w:color w:val="0C1E63"/>
    </w:rPr>
  </w:style>
  <w:style w:type="character" w:customStyle="1" w:styleId="Heading2Char">
    <w:name w:val="Heading 2 Char"/>
    <w:basedOn w:val="DefaultParagraphFont"/>
    <w:link w:val="Heading2"/>
    <w:uiPriority w:val="1"/>
    <w:rsid w:val="00107105"/>
    <w:rPr>
      <w:rFonts w:eastAsiaTheme="majorEastAsia" w:cstheme="majorBidi"/>
      <w:b/>
      <w:color w:val="002060"/>
      <w:sz w:val="32"/>
      <w:szCs w:val="26"/>
    </w:rPr>
  </w:style>
  <w:style w:type="paragraph" w:customStyle="1" w:styleId="NormalWhite">
    <w:name w:val="Normal White"/>
    <w:basedOn w:val="Normal"/>
    <w:qFormat/>
    <w:rsid w:val="00153AE9"/>
    <w:rPr>
      <w:color w:val="FFFFFF" w:themeColor="background1"/>
    </w:rPr>
  </w:style>
  <w:style w:type="character" w:customStyle="1" w:styleId="Heading1Char">
    <w:name w:val="Heading 1 Char"/>
    <w:basedOn w:val="DefaultParagraphFont"/>
    <w:link w:val="Heading1"/>
    <w:uiPriority w:val="1"/>
    <w:rsid w:val="00A95A26"/>
    <w:rPr>
      <w:rFonts w:ascii="Arial" w:hAnsi="Arial" w:cs="Arial"/>
      <w:b/>
      <w:bCs/>
      <w:color w:val="0C1E63"/>
      <w:sz w:val="44"/>
      <w:szCs w:val="44"/>
      <w:lang w:val="en-US"/>
    </w:rPr>
  </w:style>
  <w:style w:type="paragraph" w:styleId="Subtitle">
    <w:name w:val="Subtitle"/>
    <w:basedOn w:val="Normal"/>
    <w:link w:val="SubtitleChar"/>
    <w:autoRedefine/>
    <w:uiPriority w:val="99"/>
    <w:qFormat/>
    <w:rsid w:val="00251963"/>
    <w:pPr>
      <w:suppressAutoHyphens/>
      <w:autoSpaceDE w:val="0"/>
      <w:autoSpaceDN w:val="0"/>
      <w:adjustRightInd w:val="0"/>
      <w:spacing w:after="440" w:line="240" w:lineRule="auto"/>
      <w:textAlignment w:val="center"/>
    </w:pPr>
    <w:rPr>
      <w:rFonts w:ascii="Arial" w:hAnsi="Arial" w:cs="Arial"/>
      <w:b/>
      <w:bCs/>
      <w:color w:val="C4161C"/>
      <w:sz w:val="32"/>
      <w:szCs w:val="36"/>
      <w:lang w:val="en-US"/>
    </w:rPr>
  </w:style>
  <w:style w:type="character" w:customStyle="1" w:styleId="SubtitleChar">
    <w:name w:val="Subtitle Char"/>
    <w:basedOn w:val="DefaultParagraphFont"/>
    <w:link w:val="Subtitle"/>
    <w:uiPriority w:val="99"/>
    <w:rsid w:val="00251963"/>
    <w:rPr>
      <w:rFonts w:ascii="Arial" w:hAnsi="Arial" w:cs="Arial"/>
      <w:b/>
      <w:bCs/>
      <w:color w:val="C4161C"/>
      <w:sz w:val="32"/>
      <w:szCs w:val="36"/>
      <w:lang w:val="en-US"/>
    </w:rPr>
  </w:style>
  <w:style w:type="paragraph" w:customStyle="1" w:styleId="FeatureParagraph">
    <w:name w:val="Feature Paragraph"/>
    <w:basedOn w:val="Normal"/>
    <w:uiPriority w:val="99"/>
    <w:rsid w:val="00BE5DC9"/>
    <w:pPr>
      <w:suppressAutoHyphens/>
      <w:autoSpaceDE w:val="0"/>
      <w:autoSpaceDN w:val="0"/>
      <w:adjustRightInd w:val="0"/>
      <w:spacing w:after="340" w:line="400" w:lineRule="atLeast"/>
      <w:textAlignment w:val="center"/>
    </w:pPr>
    <w:rPr>
      <w:rFonts w:ascii="Arial" w:hAnsi="Arial" w:cs="ProximaNova-Regular"/>
      <w:color w:val="0C1E63"/>
      <w:lang w:val="en-US"/>
    </w:rPr>
  </w:style>
  <w:style w:type="paragraph" w:customStyle="1" w:styleId="ParagraphHeader">
    <w:name w:val="Paragraph Header"/>
    <w:basedOn w:val="Normal"/>
    <w:autoRedefine/>
    <w:uiPriority w:val="99"/>
    <w:qFormat/>
    <w:rsid w:val="0057552E"/>
    <w:pPr>
      <w:suppressAutoHyphens/>
      <w:autoSpaceDE w:val="0"/>
      <w:autoSpaceDN w:val="0"/>
      <w:adjustRightInd w:val="0"/>
      <w:spacing w:before="240" w:after="80" w:line="240" w:lineRule="auto"/>
      <w:textAlignment w:val="center"/>
    </w:pPr>
    <w:rPr>
      <w:rFonts w:ascii="Arial" w:hAnsi="Arial" w:cs="Proxima Nova Rg"/>
      <w:b/>
      <w:bCs/>
      <w:color w:val="002060"/>
      <w:szCs w:val="25"/>
      <w:lang w:val="en-US"/>
    </w:rPr>
  </w:style>
  <w:style w:type="character" w:styleId="Strong">
    <w:name w:val="Strong"/>
    <w:basedOn w:val="DefaultParagraphFont"/>
    <w:uiPriority w:val="22"/>
    <w:qFormat/>
    <w:rsid w:val="00BE5DC9"/>
    <w:rPr>
      <w:b/>
      <w:bCs/>
    </w:rPr>
  </w:style>
  <w:style w:type="paragraph" w:customStyle="1" w:styleId="StoryHeader">
    <w:name w:val="Story Header"/>
    <w:basedOn w:val="Heading2"/>
    <w:rsid w:val="007F42B0"/>
    <w:rPr>
      <w:b w:val="0"/>
      <w:bCs/>
      <w:szCs w:val="32"/>
    </w:rPr>
  </w:style>
  <w:style w:type="paragraph" w:styleId="Header">
    <w:name w:val="header"/>
    <w:basedOn w:val="Normal"/>
    <w:link w:val="HeaderChar"/>
    <w:uiPriority w:val="99"/>
    <w:unhideWhenUsed/>
    <w:rsid w:val="001D59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97F"/>
  </w:style>
  <w:style w:type="paragraph" w:styleId="Footer">
    <w:name w:val="footer"/>
    <w:basedOn w:val="Normal"/>
    <w:link w:val="FooterChar"/>
    <w:uiPriority w:val="99"/>
    <w:unhideWhenUsed/>
    <w:rsid w:val="001D59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97F"/>
  </w:style>
  <w:style w:type="paragraph" w:customStyle="1" w:styleId="Default">
    <w:name w:val="Default"/>
    <w:rsid w:val="00A03D5E"/>
    <w:pPr>
      <w:autoSpaceDE w:val="0"/>
      <w:autoSpaceDN w:val="0"/>
      <w:adjustRightInd w:val="0"/>
    </w:pPr>
    <w:rPr>
      <w:rFonts w:ascii="Proxima Nova Rg" w:hAnsi="Proxima Nova Rg" w:cs="Proxima Nova Rg"/>
      <w:color w:val="000000"/>
      <w:lang w:val="en-GB"/>
    </w:rPr>
  </w:style>
  <w:style w:type="character" w:styleId="PageNumber">
    <w:name w:val="page number"/>
    <w:basedOn w:val="DefaultParagraphFont"/>
    <w:uiPriority w:val="99"/>
    <w:semiHidden/>
    <w:unhideWhenUsed/>
    <w:rsid w:val="00891BD1"/>
  </w:style>
  <w:style w:type="paragraph" w:styleId="NoSpacing">
    <w:name w:val="No Spacing"/>
    <w:uiPriority w:val="1"/>
    <w:rsid w:val="00A95A26"/>
    <w:pPr>
      <w:spacing w:line="264" w:lineRule="auto"/>
    </w:pPr>
  </w:style>
  <w:style w:type="paragraph" w:styleId="ListParagraph">
    <w:name w:val="List Paragraph"/>
    <w:basedOn w:val="Normal"/>
    <w:uiPriority w:val="34"/>
    <w:qFormat/>
    <w:rsid w:val="00251963"/>
    <w:pPr>
      <w:ind w:left="720"/>
      <w:contextualSpacing/>
    </w:pPr>
  </w:style>
  <w:style w:type="paragraph" w:customStyle="1" w:styleId="FeatureText">
    <w:name w:val="Feature Text"/>
    <w:basedOn w:val="Normal"/>
    <w:uiPriority w:val="3"/>
    <w:qFormat/>
    <w:rsid w:val="00251963"/>
    <w:rPr>
      <w:b/>
      <w:color w:val="0C1E63"/>
      <w:sz w:val="28"/>
      <w:szCs w:val="28"/>
    </w:rPr>
  </w:style>
  <w:style w:type="character" w:styleId="Hyperlink">
    <w:name w:val="Hyperlink"/>
    <w:basedOn w:val="DefaultParagraphFont"/>
    <w:uiPriority w:val="99"/>
    <w:unhideWhenUsed/>
    <w:rsid w:val="00C54DF4"/>
    <w:rPr>
      <w:color w:val="FFFFFF" w:themeColor="background1"/>
      <w:u w:val="single"/>
    </w:rPr>
  </w:style>
  <w:style w:type="character" w:customStyle="1" w:styleId="UnresolvedMention1">
    <w:name w:val="Unresolved Mention1"/>
    <w:basedOn w:val="DefaultParagraphFont"/>
    <w:uiPriority w:val="99"/>
    <w:semiHidden/>
    <w:unhideWhenUsed/>
    <w:rsid w:val="007B6A65"/>
    <w:rPr>
      <w:color w:val="605E5C"/>
      <w:shd w:val="clear" w:color="auto" w:fill="E1DFDD"/>
    </w:rPr>
  </w:style>
  <w:style w:type="character" w:styleId="CommentReference">
    <w:name w:val="annotation reference"/>
    <w:basedOn w:val="DefaultParagraphFont"/>
    <w:uiPriority w:val="99"/>
    <w:semiHidden/>
    <w:unhideWhenUsed/>
    <w:rsid w:val="00EA6B90"/>
    <w:rPr>
      <w:sz w:val="16"/>
      <w:szCs w:val="16"/>
    </w:rPr>
  </w:style>
  <w:style w:type="paragraph" w:styleId="CommentText">
    <w:name w:val="annotation text"/>
    <w:basedOn w:val="Normal"/>
    <w:link w:val="CommentTextChar"/>
    <w:uiPriority w:val="99"/>
    <w:unhideWhenUsed/>
    <w:rsid w:val="00EA6B90"/>
    <w:pPr>
      <w:spacing w:line="240" w:lineRule="auto"/>
    </w:pPr>
  </w:style>
  <w:style w:type="character" w:customStyle="1" w:styleId="CommentTextChar">
    <w:name w:val="Comment Text Char"/>
    <w:basedOn w:val="DefaultParagraphFont"/>
    <w:link w:val="CommentText"/>
    <w:uiPriority w:val="99"/>
    <w:rsid w:val="00EA6B90"/>
    <w:rPr>
      <w:sz w:val="20"/>
      <w:szCs w:val="20"/>
    </w:rPr>
  </w:style>
  <w:style w:type="paragraph" w:styleId="CommentSubject">
    <w:name w:val="annotation subject"/>
    <w:basedOn w:val="CommentText"/>
    <w:next w:val="CommentText"/>
    <w:link w:val="CommentSubjectChar"/>
    <w:uiPriority w:val="99"/>
    <w:semiHidden/>
    <w:unhideWhenUsed/>
    <w:rsid w:val="00EA6B90"/>
    <w:rPr>
      <w:b/>
      <w:bCs/>
    </w:rPr>
  </w:style>
  <w:style w:type="character" w:customStyle="1" w:styleId="CommentSubjectChar">
    <w:name w:val="Comment Subject Char"/>
    <w:basedOn w:val="CommentTextChar"/>
    <w:link w:val="CommentSubject"/>
    <w:uiPriority w:val="99"/>
    <w:semiHidden/>
    <w:rsid w:val="00EA6B90"/>
    <w:rPr>
      <w:b/>
      <w:bCs/>
      <w:sz w:val="20"/>
      <w:szCs w:val="20"/>
    </w:rPr>
  </w:style>
  <w:style w:type="character" w:styleId="FollowedHyperlink">
    <w:name w:val="FollowedHyperlink"/>
    <w:basedOn w:val="DefaultParagraphFont"/>
    <w:uiPriority w:val="99"/>
    <w:semiHidden/>
    <w:unhideWhenUsed/>
    <w:rsid w:val="002F117F"/>
    <w:rPr>
      <w:color w:val="954F72" w:themeColor="followedHyperlink"/>
      <w:u w:val="single"/>
    </w:rPr>
  </w:style>
  <w:style w:type="paragraph" w:styleId="BalloonText">
    <w:name w:val="Balloon Text"/>
    <w:basedOn w:val="Normal"/>
    <w:link w:val="BalloonTextChar"/>
    <w:uiPriority w:val="99"/>
    <w:semiHidden/>
    <w:unhideWhenUsed/>
    <w:rsid w:val="00597B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B19"/>
    <w:rPr>
      <w:rFonts w:ascii="Segoe UI" w:hAnsi="Segoe UI" w:cs="Segoe UI"/>
      <w:sz w:val="18"/>
      <w:szCs w:val="18"/>
    </w:rPr>
  </w:style>
  <w:style w:type="character" w:styleId="UnresolvedMention">
    <w:name w:val="Unresolved Mention"/>
    <w:basedOn w:val="DefaultParagraphFont"/>
    <w:uiPriority w:val="99"/>
    <w:semiHidden/>
    <w:unhideWhenUsed/>
    <w:rsid w:val="00C11F1D"/>
    <w:rPr>
      <w:color w:val="605E5C"/>
      <w:shd w:val="clear" w:color="auto" w:fill="E1DFDD"/>
    </w:rPr>
  </w:style>
  <w:style w:type="character" w:customStyle="1" w:styleId="Heading3Char">
    <w:name w:val="Heading 3 Char"/>
    <w:basedOn w:val="DefaultParagraphFont"/>
    <w:link w:val="Heading3"/>
    <w:uiPriority w:val="1"/>
    <w:rsid w:val="00107105"/>
    <w:rPr>
      <w:rFonts w:eastAsiaTheme="majorEastAsia" w:cstheme="majorBidi"/>
      <w:b/>
      <w:color w:val="000050" w:themeColor="accent1"/>
      <w:sz w:val="28"/>
    </w:rPr>
  </w:style>
  <w:style w:type="paragraph" w:customStyle="1" w:styleId="ListBullet1">
    <w:name w:val="List Bullet1"/>
    <w:basedOn w:val="ListParagraph"/>
    <w:uiPriority w:val="2"/>
    <w:qFormat/>
    <w:rsid w:val="00251963"/>
    <w:pPr>
      <w:numPr>
        <w:numId w:val="9"/>
      </w:numPr>
    </w:pPr>
    <w:rPr>
      <w:shd w:val="clear" w:color="auto" w:fill="FFFFFF"/>
    </w:rPr>
  </w:style>
  <w:style w:type="paragraph" w:customStyle="1" w:styleId="FeatureBoxtext">
    <w:name w:val="Feature Box text"/>
    <w:basedOn w:val="Normal"/>
    <w:uiPriority w:val="3"/>
    <w:qFormat/>
    <w:rsid w:val="00251963"/>
    <w:pPr>
      <w:pBdr>
        <w:top w:val="single" w:sz="4" w:space="5" w:color="000050"/>
        <w:left w:val="single" w:sz="4" w:space="5" w:color="000050"/>
        <w:bottom w:val="single" w:sz="4" w:space="5" w:color="000050"/>
        <w:right w:val="single" w:sz="4" w:space="5" w:color="000050"/>
      </w:pBdr>
      <w:shd w:val="clear" w:color="auto" w:fill="000050"/>
      <w:spacing w:line="276" w:lineRule="auto"/>
    </w:pPr>
    <w:rPr>
      <w:rFonts w:ascii="Arial" w:eastAsia="Arial" w:hAnsi="Arial" w:cs="Times New Roman"/>
      <w:b/>
      <w:color w:val="FFFFFF"/>
      <w:szCs w:val="24"/>
    </w:rPr>
  </w:style>
  <w:style w:type="character" w:customStyle="1" w:styleId="Heading4Char">
    <w:name w:val="Heading 4 Char"/>
    <w:basedOn w:val="DefaultParagraphFont"/>
    <w:link w:val="Heading4"/>
    <w:uiPriority w:val="1"/>
    <w:rsid w:val="00107105"/>
    <w:rPr>
      <w:rFonts w:eastAsiaTheme="majorEastAsia" w:cstheme="majorBidi"/>
      <w:b/>
      <w:iCs/>
      <w:color w:val="00003B" w:themeColor="accent1" w:themeShade="BF"/>
      <w:szCs w:val="20"/>
    </w:rPr>
  </w:style>
  <w:style w:type="paragraph" w:customStyle="1" w:styleId="H2-ClientStory">
    <w:name w:val="H2 - Client Story"/>
    <w:basedOn w:val="Heading2"/>
    <w:uiPriority w:val="1"/>
    <w:qFormat/>
    <w:rsid w:val="000D2147"/>
    <w:pPr>
      <w:pBdr>
        <w:top w:val="single" w:sz="8" w:space="1" w:color="000050" w:themeColor="accent1"/>
        <w:left w:val="single" w:sz="8" w:space="4" w:color="000050" w:themeColor="accent1"/>
        <w:bottom w:val="single" w:sz="8" w:space="1" w:color="000050" w:themeColor="accent1"/>
        <w:right w:val="single" w:sz="8" w:space="4" w:color="000050" w:themeColor="accent1"/>
      </w:pBdr>
      <w:shd w:val="clear" w:color="auto" w:fill="000050" w:themeFill="accent1"/>
    </w:pPr>
    <w:rPr>
      <w:color w:val="FFFFFF" w:themeColor="background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564840">
      <w:bodyDiv w:val="1"/>
      <w:marLeft w:val="0"/>
      <w:marRight w:val="0"/>
      <w:marTop w:val="0"/>
      <w:marBottom w:val="0"/>
      <w:divBdr>
        <w:top w:val="none" w:sz="0" w:space="0" w:color="auto"/>
        <w:left w:val="none" w:sz="0" w:space="0" w:color="auto"/>
        <w:bottom w:val="none" w:sz="0" w:space="0" w:color="auto"/>
        <w:right w:val="none" w:sz="0" w:space="0" w:color="auto"/>
      </w:divBdr>
    </w:div>
    <w:div w:id="107251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elanie/SensesWA%20Work/KC%20graphics/DBIA%20Fact%20Sheet%20-%20text%20only%20TEMPLATE.dotx" TargetMode="External"/></Relationships>
</file>

<file path=word/theme/theme1.xml><?xml version="1.0" encoding="utf-8"?>
<a:theme xmlns:a="http://schemas.openxmlformats.org/drawingml/2006/main" name="Deafblind Information Australia">
  <a:themeElements>
    <a:clrScheme name="Deafblind Information Australia">
      <a:dk1>
        <a:sysClr val="windowText" lastClr="000000"/>
      </a:dk1>
      <a:lt1>
        <a:sysClr val="window" lastClr="FFFFFF"/>
      </a:lt1>
      <a:dk2>
        <a:srgbClr val="000033"/>
      </a:dk2>
      <a:lt2>
        <a:srgbClr val="FBC100"/>
      </a:lt2>
      <a:accent1>
        <a:srgbClr val="000050"/>
      </a:accent1>
      <a:accent2>
        <a:srgbClr val="C2171C"/>
      </a:accent2>
      <a:accent3>
        <a:srgbClr val="00B2F0"/>
      </a:accent3>
      <a:accent4>
        <a:srgbClr val="F27021"/>
      </a:accent4>
      <a:accent5>
        <a:srgbClr val="F7B795"/>
      </a:accent5>
      <a:accent6>
        <a:srgbClr val="00A8A6"/>
      </a:accent6>
      <a:hlink>
        <a:srgbClr val="0563C1"/>
      </a:hlink>
      <a:folHlink>
        <a:srgbClr val="954F72"/>
      </a:folHlink>
    </a:clrScheme>
    <a:fontScheme name="Deafblind Information Australia">
      <a:majorFont>
        <a:latin typeface="Arial Black"/>
        <a:ea typeface=""/>
        <a:cs typeface=""/>
      </a:majorFont>
      <a:minorFont>
        <a:latin typeface="Arial"/>
        <a:ea typeface=""/>
        <a:cs typeface=""/>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afblind Information Australia" id="{9BB4EDDF-FD06-41ED-BFB6-28D5F1A8A9A8}" vid="{7CEB4C55-CBD8-42AA-8C1F-88B1A5FB01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CD78E3A398F3419ADC98240CA9B5DE" ma:contentTypeVersion="12" ma:contentTypeDescription="Create a new document." ma:contentTypeScope="" ma:versionID="a08a84374ed456d782b4defffb31decc">
  <xsd:schema xmlns:xsd="http://www.w3.org/2001/XMLSchema" xmlns:xs="http://www.w3.org/2001/XMLSchema" xmlns:p="http://schemas.microsoft.com/office/2006/metadata/properties" xmlns:ns2="042efdc7-59c3-4ea1-acf9-ad98bbf20f11" xmlns:ns3="da0d2570-240f-42ef-b71f-454e6cf9e88e" targetNamespace="http://schemas.microsoft.com/office/2006/metadata/properties" ma:root="true" ma:fieldsID="2ab96b3cf80ca9d049444be066994466" ns2:_="" ns3:_="">
    <xsd:import namespace="042efdc7-59c3-4ea1-acf9-ad98bbf20f11"/>
    <xsd:import namespace="da0d2570-240f-42ef-b71f-454e6cf9e8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efdc7-59c3-4ea1-acf9-ad98bbf20f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a0d2570-240f-42ef-b71f-454e6cf9e8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662EAA-1B19-4AE8-B43A-031D80BB8D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AAAEA45-8619-41D1-BCAF-102142418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efdc7-59c3-4ea1-acf9-ad98bbf20f11"/>
    <ds:schemaRef ds:uri="da0d2570-240f-42ef-b71f-454e6cf9e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8C69BA-6F44-4848-9714-3E5B08C3F924}">
  <ds:schemaRefs>
    <ds:schemaRef ds:uri="http://schemas.microsoft.com/sharepoint/events"/>
  </ds:schemaRefs>
</ds:datastoreItem>
</file>

<file path=customXml/itemProps4.xml><?xml version="1.0" encoding="utf-8"?>
<ds:datastoreItem xmlns:ds="http://schemas.openxmlformats.org/officeDocument/2006/customXml" ds:itemID="{E59D5070-8CD2-48F6-9BA9-CC37E24F7534}">
  <ds:schemaRefs>
    <ds:schemaRef ds:uri="http://schemas.openxmlformats.org/officeDocument/2006/bibliography"/>
  </ds:schemaRefs>
</ds:datastoreItem>
</file>

<file path=customXml/itemProps5.xml><?xml version="1.0" encoding="utf-8"?>
<ds:datastoreItem xmlns:ds="http://schemas.openxmlformats.org/officeDocument/2006/customXml" ds:itemID="{1E2CD6AE-F46E-4F43-87D9-1022649A4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DBIA Fact Sheet - text only TEMPLATE.dotx</Template>
  <TotalTime>24</TotalTime>
  <Pages>2</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dc:creator>
  <cp:keywords/>
  <dc:description/>
  <cp:lastModifiedBy>Melanie Robartson</cp:lastModifiedBy>
  <cp:revision>5</cp:revision>
  <dcterms:created xsi:type="dcterms:W3CDTF">2023-12-15T07:33:00Z</dcterms:created>
  <dcterms:modified xsi:type="dcterms:W3CDTF">2023-12-15T09:24:00Z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0x01010093CD78E3A398F3419ADC98240CA9B5DE</vt:lpwstr>
  </property>
</Properties>
</file>