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bCs w:val="0"/>
          <w:color w:val="000050" w:themeColor="accent1"/>
          <w:sz w:val="36"/>
          <w:szCs w:val="36"/>
          <w:lang w:val="en-AU"/>
        </w:rPr>
        <w:id w:val="1897311230"/>
        <w:docPartObj>
          <w:docPartGallery w:val="Cover Pages"/>
          <w:docPartUnique/>
        </w:docPartObj>
      </w:sdtPr>
      <w:sdtEndPr>
        <w:rPr>
          <w:rFonts w:cstheme="majorHAnsi"/>
          <w:b/>
          <w:bCs/>
          <w:color w:val="C2171C" w:themeColor="accent2"/>
          <w:sz w:val="44"/>
          <w:szCs w:val="40"/>
        </w:rPr>
      </w:sdtEndPr>
      <w:sdtContent>
        <w:p w14:paraId="1A94DF1C" w14:textId="293B45B2" w:rsidR="00053FC3" w:rsidRPr="00053FC3" w:rsidRDefault="006F503A" w:rsidP="00053FC3">
          <w:pPr>
            <w:pStyle w:val="Heading1"/>
            <w:spacing w:before="2000" w:after="240"/>
            <w:rPr>
              <w:rStyle w:val="SubtitleChar"/>
            </w:rPr>
          </w:pPr>
          <w:r>
            <w:rPr>
              <w:noProof/>
            </w:rPr>
            <w:drawing>
              <wp:anchor distT="0" distB="0" distL="114300" distR="114300" simplePos="0" relativeHeight="251658240" behindDoc="1" locked="0" layoutInCell="1" allowOverlap="0" wp14:anchorId="78A0A6AE" wp14:editId="46275FC4">
                <wp:simplePos x="0" y="0"/>
                <wp:positionH relativeFrom="column">
                  <wp:posOffset>-923523</wp:posOffset>
                </wp:positionH>
                <wp:positionV relativeFrom="page">
                  <wp:posOffset>-22721</wp:posOffset>
                </wp:positionV>
                <wp:extent cx="7265670" cy="7329650"/>
                <wp:effectExtent l="0" t="0" r="0" b="5080"/>
                <wp:wrapNone/>
                <wp:docPr id="3809691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69154" name="Picture 2">
                          <a:extLst>
                            <a:ext uri="{C183D7F6-B498-43B3-948B-1728B52AA6E4}">
                              <adec:decorative xmlns:adec="http://schemas.microsoft.com/office/drawing/2017/decorative" val="1"/>
                            </a:ext>
                          </a:extLst>
                        </pic:cNvPr>
                        <pic:cNvPicPr/>
                      </pic:nvPicPr>
                      <pic:blipFill rotWithShape="1">
                        <a:blip r:embed="rId12">
                          <a:extLst>
                            <a:ext uri="{28A0092B-C50C-407E-A947-70E740481C1C}">
                              <a14:useLocalDpi xmlns:a14="http://schemas.microsoft.com/office/drawing/2010/main" val="0"/>
                            </a:ext>
                          </a:extLst>
                        </a:blip>
                        <a:srcRect l="10135" t="9343"/>
                        <a:stretch/>
                      </pic:blipFill>
                      <pic:spPr bwMode="auto">
                        <a:xfrm>
                          <a:off x="0" y="0"/>
                          <a:ext cx="7265670" cy="732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Briefing Paper</w:t>
          </w:r>
        </w:p>
        <w:p w14:paraId="709ADB3C" w14:textId="3AD89EFC" w:rsidR="00053FC3" w:rsidRPr="00053FC3" w:rsidRDefault="00053FC3" w:rsidP="00053FC3">
          <w:pPr>
            <w:pStyle w:val="Heading1"/>
            <w:spacing w:before="0" w:after="240"/>
            <w:rPr>
              <w:rFonts w:eastAsiaTheme="minorEastAsia"/>
              <w:b w:val="0"/>
              <w:color w:val="000050" w:themeColor="accent1"/>
              <w:sz w:val="36"/>
              <w:szCs w:val="22"/>
            </w:rPr>
          </w:pPr>
          <w:r>
            <w:rPr>
              <w:rStyle w:val="SubtitleChar"/>
            </w:rPr>
            <w:t>National Advocacy Priorities for Australians with Deafblindness</w:t>
          </w:r>
        </w:p>
        <w:p w14:paraId="56124555" w14:textId="4A305278" w:rsidR="00053FC3" w:rsidRPr="00053FC3" w:rsidRDefault="00053FC3" w:rsidP="00053FC3">
          <w:pPr>
            <w:ind w:left="567" w:right="804"/>
            <w:rPr>
              <w:b/>
              <w:iCs/>
              <w:sz w:val="28"/>
            </w:rPr>
          </w:pPr>
          <w:r>
            <w:rPr>
              <w:rStyle w:val="Emphasis"/>
            </w:rPr>
            <w:t>Strengthening Disability Reform Through Data, Community Infrastructure, and Workforce Capability</w:t>
          </w:r>
        </w:p>
        <w:p w14:paraId="35D2F788" w14:textId="77777777" w:rsidR="00053FC3" w:rsidRDefault="00053FC3" w:rsidP="00053FC3">
          <w:pPr>
            <w:ind w:left="567" w:right="804"/>
          </w:pPr>
          <w:r>
            <w:rPr>
              <w:b/>
              <w:bCs/>
            </w:rPr>
            <w:t>Prepared for:</w:t>
          </w:r>
          <w:r>
            <w:t xml:space="preserve"> Australian Government policymakers, Members of Parliament, and public sector leaders</w:t>
          </w:r>
        </w:p>
        <w:p w14:paraId="48AD53AA" w14:textId="47CA35F8" w:rsidR="00785B45" w:rsidRPr="00053FC3" w:rsidRDefault="00AB42FE" w:rsidP="00053FC3">
          <w:pPr>
            <w:ind w:left="567"/>
            <w:rPr>
              <w:rFonts w:eastAsiaTheme="majorEastAsia" w:cstheme="minorHAnsi"/>
              <w:b/>
              <w:bCs/>
              <w:color w:val="C2171C" w:themeColor="accent2"/>
              <w:sz w:val="72"/>
              <w:szCs w:val="72"/>
            </w:rPr>
          </w:pPr>
          <w:r>
            <w:rPr>
              <w:b/>
              <w:bCs/>
            </w:rPr>
            <w:t>June 2026</w:t>
          </w:r>
          <w:r>
            <w:rPr>
              <w:rFonts w:cstheme="majorHAnsi"/>
              <w:b/>
              <w:bCs/>
              <w:noProof/>
              <w:color w:val="C2171C" w:themeColor="accent2"/>
            </w:rPr>
            <w:drawing>
              <wp:anchor distT="0" distB="0" distL="114300" distR="114300" simplePos="0" relativeHeight="251658242" behindDoc="0" locked="1" layoutInCell="1" allowOverlap="0" wp14:anchorId="6F91B419" wp14:editId="43B71160">
                <wp:simplePos x="0" y="0"/>
                <wp:positionH relativeFrom="column">
                  <wp:posOffset>2893060</wp:posOffset>
                </wp:positionH>
                <wp:positionV relativeFrom="page">
                  <wp:posOffset>8350885</wp:posOffset>
                </wp:positionV>
                <wp:extent cx="3444875" cy="2009140"/>
                <wp:effectExtent l="0" t="0" r="3175" b="0"/>
                <wp:wrapNone/>
                <wp:docPr id="2046419045" name="Picture 4" descr="Deafblind Information Australia logo and consortium logos of Able Australia, Senses WA &amp; Deafblind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9045" name="Picture 4" descr="Deafblind Information Australia logo and consortium logos of Able Australia, Senses WA &amp; Deafblind Austral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875" cy="2009140"/>
                        </a:xfrm>
                        <a:prstGeom prst="rect">
                          <a:avLst/>
                        </a:prstGeom>
                      </pic:spPr>
                    </pic:pic>
                  </a:graphicData>
                </a:graphic>
                <wp14:sizeRelH relativeFrom="margin">
                  <wp14:pctWidth>0</wp14:pctWidth>
                </wp14:sizeRelH>
                <wp14:sizeRelV relativeFrom="margin">
                  <wp14:pctHeight>0</wp14:pctHeight>
                </wp14:sizeRelV>
              </wp:anchor>
            </w:drawing>
          </w:r>
        </w:p>
      </w:sdtContent>
    </w:sdt>
    <w:p w14:paraId="3C6F6E89" w14:textId="77777777" w:rsidR="00662445" w:rsidRPr="00785B45" w:rsidRDefault="002A31FB" w:rsidP="00785B45">
      <w:pPr>
        <w:pStyle w:val="NoSpacing"/>
        <w:spacing w:before="3000"/>
        <w:ind w:left="567" w:right="2222"/>
        <w:rPr>
          <w:rFonts w:cstheme="majorHAnsi"/>
          <w:b/>
          <w:bCs/>
          <w:color w:val="C2171C" w:themeColor="accent2"/>
          <w:sz w:val="44"/>
          <w:szCs w:val="40"/>
        </w:rPr>
      </w:pPr>
      <w:r>
        <w:rPr>
          <w:noProof/>
        </w:rPr>
        <w:lastRenderedPageBreak/>
        <w:drawing>
          <wp:anchor distT="0" distB="0" distL="114300" distR="114300" simplePos="0" relativeHeight="251658241" behindDoc="0" locked="1" layoutInCell="1" allowOverlap="1" wp14:anchorId="61227819" wp14:editId="67CDF0EC">
            <wp:simplePos x="0" y="0"/>
            <wp:positionH relativeFrom="page">
              <wp:align>left</wp:align>
            </wp:positionH>
            <wp:positionV relativeFrom="page">
              <wp:posOffset>0</wp:posOffset>
            </wp:positionV>
            <wp:extent cx="7026910" cy="1142365"/>
            <wp:effectExtent l="0" t="0" r="2540" b="635"/>
            <wp:wrapNone/>
            <wp:docPr id="30722" name="Picture 3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3072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6910" cy="1142365"/>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HAnsi" w:cstheme="minorBidi"/>
          <w:b w:val="0"/>
          <w:color w:val="auto"/>
          <w:sz w:val="28"/>
          <w:szCs w:val="24"/>
          <w:lang w:val="en-AU"/>
        </w:rPr>
        <w:id w:val="-1916236484"/>
        <w:docPartObj>
          <w:docPartGallery w:val="Table of Contents"/>
          <w:docPartUnique/>
        </w:docPartObj>
      </w:sdtPr>
      <w:sdtEndPr>
        <w:rPr>
          <w:bCs/>
          <w:noProof/>
          <w:sz w:val="24"/>
        </w:rPr>
      </w:sdtEndPr>
      <w:sdtContent>
        <w:p w14:paraId="19F04614" w14:textId="77777777" w:rsidR="00313713" w:rsidRDefault="00313713" w:rsidP="00785B45">
          <w:pPr>
            <w:pStyle w:val="TOCHeading"/>
            <w:spacing w:before="1200"/>
          </w:pPr>
          <w:r>
            <w:t>Contents</w:t>
          </w:r>
        </w:p>
        <w:p w14:paraId="3929783C" w14:textId="5924CFB3" w:rsidR="008957F9" w:rsidRDefault="0060677B">
          <w:pPr>
            <w:pStyle w:val="TOC2"/>
            <w:tabs>
              <w:tab w:val="right" w:leader="dot" w:pos="9016"/>
            </w:tabs>
            <w:rPr>
              <w:rFonts w:eastAsiaTheme="minorEastAsia"/>
              <w:noProof/>
              <w:kern w:val="2"/>
              <w:lang w:eastAsia="en-GB"/>
              <w14:ligatures w14:val="standardContextual"/>
            </w:rPr>
          </w:pPr>
          <w:r>
            <w:rPr>
              <w:noProof/>
            </w:rPr>
            <w:fldChar w:fldCharType="begin"/>
          </w:r>
          <w:r>
            <w:rPr>
              <w:noProof/>
            </w:rPr>
            <w:instrText xml:space="preserve"> TOC \o "2-3" \h \z \u </w:instrText>
          </w:r>
          <w:r>
            <w:rPr>
              <w:noProof/>
            </w:rPr>
            <w:fldChar w:fldCharType="separate"/>
          </w:r>
          <w:hyperlink w:anchor="_Toc233272882" w:history="1">
            <w:r w:rsidR="008957F9" w:rsidRPr="001806CE">
              <w:rPr>
                <w:rStyle w:val="Hyperlink"/>
                <w:noProof/>
              </w:rPr>
              <w:t>Government Decision Brief</w:t>
            </w:r>
            <w:r w:rsidR="008957F9">
              <w:rPr>
                <w:noProof/>
                <w:webHidden/>
              </w:rPr>
              <w:tab/>
            </w:r>
            <w:r w:rsidR="008957F9">
              <w:rPr>
                <w:noProof/>
                <w:webHidden/>
              </w:rPr>
              <w:fldChar w:fldCharType="begin"/>
            </w:r>
            <w:r w:rsidR="008957F9">
              <w:rPr>
                <w:noProof/>
                <w:webHidden/>
              </w:rPr>
              <w:instrText xml:space="preserve"> PAGEREF _Toc233272882 \h </w:instrText>
            </w:r>
            <w:r w:rsidR="008957F9">
              <w:rPr>
                <w:noProof/>
                <w:webHidden/>
              </w:rPr>
            </w:r>
            <w:r w:rsidR="008957F9">
              <w:rPr>
                <w:noProof/>
                <w:webHidden/>
              </w:rPr>
              <w:fldChar w:fldCharType="separate"/>
            </w:r>
            <w:r w:rsidR="008957F9">
              <w:rPr>
                <w:noProof/>
                <w:webHidden/>
              </w:rPr>
              <w:t>2</w:t>
            </w:r>
            <w:r w:rsidR="008957F9">
              <w:rPr>
                <w:noProof/>
                <w:webHidden/>
              </w:rPr>
              <w:fldChar w:fldCharType="end"/>
            </w:r>
          </w:hyperlink>
        </w:p>
        <w:p w14:paraId="06F665E6" w14:textId="037A009C" w:rsidR="008957F9" w:rsidRDefault="008957F9">
          <w:pPr>
            <w:pStyle w:val="TOC3"/>
            <w:tabs>
              <w:tab w:val="right" w:leader="dot" w:pos="9016"/>
            </w:tabs>
            <w:rPr>
              <w:rFonts w:eastAsiaTheme="minorEastAsia"/>
              <w:noProof/>
              <w:kern w:val="2"/>
              <w:lang w:eastAsia="en-GB"/>
              <w14:ligatures w14:val="standardContextual"/>
            </w:rPr>
          </w:pPr>
          <w:hyperlink w:anchor="_Toc233272883" w:history="1">
            <w:r w:rsidRPr="001806CE">
              <w:rPr>
                <w:rStyle w:val="Hyperlink"/>
                <w:noProof/>
              </w:rPr>
              <w:t>Purpose</w:t>
            </w:r>
            <w:r>
              <w:rPr>
                <w:noProof/>
                <w:webHidden/>
              </w:rPr>
              <w:tab/>
            </w:r>
            <w:r>
              <w:rPr>
                <w:noProof/>
                <w:webHidden/>
              </w:rPr>
              <w:fldChar w:fldCharType="begin"/>
            </w:r>
            <w:r>
              <w:rPr>
                <w:noProof/>
                <w:webHidden/>
              </w:rPr>
              <w:instrText xml:space="preserve"> PAGEREF _Toc233272883 \h </w:instrText>
            </w:r>
            <w:r>
              <w:rPr>
                <w:noProof/>
                <w:webHidden/>
              </w:rPr>
            </w:r>
            <w:r>
              <w:rPr>
                <w:noProof/>
                <w:webHidden/>
              </w:rPr>
              <w:fldChar w:fldCharType="separate"/>
            </w:r>
            <w:r>
              <w:rPr>
                <w:noProof/>
                <w:webHidden/>
              </w:rPr>
              <w:t>2</w:t>
            </w:r>
            <w:r>
              <w:rPr>
                <w:noProof/>
                <w:webHidden/>
              </w:rPr>
              <w:fldChar w:fldCharType="end"/>
            </w:r>
          </w:hyperlink>
        </w:p>
        <w:p w14:paraId="35AFE2B3" w14:textId="1BEA8A45" w:rsidR="008957F9" w:rsidRDefault="008957F9">
          <w:pPr>
            <w:pStyle w:val="TOC3"/>
            <w:tabs>
              <w:tab w:val="right" w:leader="dot" w:pos="9016"/>
            </w:tabs>
            <w:rPr>
              <w:rFonts w:eastAsiaTheme="minorEastAsia"/>
              <w:noProof/>
              <w:kern w:val="2"/>
              <w:lang w:eastAsia="en-GB"/>
              <w14:ligatures w14:val="standardContextual"/>
            </w:rPr>
          </w:pPr>
          <w:hyperlink w:anchor="_Toc233272884" w:history="1">
            <w:r w:rsidRPr="001806CE">
              <w:rPr>
                <w:rStyle w:val="Hyperlink"/>
                <w:noProof/>
              </w:rPr>
              <w:t>Iss</w:t>
            </w:r>
            <w:r w:rsidRPr="001806CE">
              <w:rPr>
                <w:rStyle w:val="Hyperlink"/>
                <w:noProof/>
              </w:rPr>
              <w:t>u</w:t>
            </w:r>
            <w:r w:rsidRPr="001806CE">
              <w:rPr>
                <w:rStyle w:val="Hyperlink"/>
                <w:noProof/>
              </w:rPr>
              <w:t>e</w:t>
            </w:r>
            <w:r>
              <w:rPr>
                <w:noProof/>
                <w:webHidden/>
              </w:rPr>
              <w:tab/>
            </w:r>
            <w:r>
              <w:rPr>
                <w:noProof/>
                <w:webHidden/>
              </w:rPr>
              <w:fldChar w:fldCharType="begin"/>
            </w:r>
            <w:r>
              <w:rPr>
                <w:noProof/>
                <w:webHidden/>
              </w:rPr>
              <w:instrText xml:space="preserve"> PAGEREF _Toc233272884 \h </w:instrText>
            </w:r>
            <w:r>
              <w:rPr>
                <w:noProof/>
                <w:webHidden/>
              </w:rPr>
            </w:r>
            <w:r>
              <w:rPr>
                <w:noProof/>
                <w:webHidden/>
              </w:rPr>
              <w:fldChar w:fldCharType="separate"/>
            </w:r>
            <w:r>
              <w:rPr>
                <w:noProof/>
                <w:webHidden/>
              </w:rPr>
              <w:t>2</w:t>
            </w:r>
            <w:r>
              <w:rPr>
                <w:noProof/>
                <w:webHidden/>
              </w:rPr>
              <w:fldChar w:fldCharType="end"/>
            </w:r>
          </w:hyperlink>
        </w:p>
        <w:p w14:paraId="3798C512" w14:textId="665DE9AB" w:rsidR="008957F9" w:rsidRDefault="008957F9">
          <w:pPr>
            <w:pStyle w:val="TOC3"/>
            <w:tabs>
              <w:tab w:val="right" w:leader="dot" w:pos="9016"/>
            </w:tabs>
            <w:rPr>
              <w:rFonts w:eastAsiaTheme="minorEastAsia"/>
              <w:noProof/>
              <w:kern w:val="2"/>
              <w:lang w:eastAsia="en-GB"/>
              <w14:ligatures w14:val="standardContextual"/>
            </w:rPr>
          </w:pPr>
          <w:hyperlink w:anchor="_Toc233272885" w:history="1">
            <w:r w:rsidRPr="001806CE">
              <w:rPr>
                <w:rStyle w:val="Hyperlink"/>
                <w:noProof/>
              </w:rPr>
              <w:t>Risks if No Action is Taken</w:t>
            </w:r>
            <w:r>
              <w:rPr>
                <w:noProof/>
                <w:webHidden/>
              </w:rPr>
              <w:tab/>
            </w:r>
            <w:r>
              <w:rPr>
                <w:noProof/>
                <w:webHidden/>
              </w:rPr>
              <w:fldChar w:fldCharType="begin"/>
            </w:r>
            <w:r>
              <w:rPr>
                <w:noProof/>
                <w:webHidden/>
              </w:rPr>
              <w:instrText xml:space="preserve"> PAGEREF _Toc233272885 \h </w:instrText>
            </w:r>
            <w:r>
              <w:rPr>
                <w:noProof/>
                <w:webHidden/>
              </w:rPr>
            </w:r>
            <w:r>
              <w:rPr>
                <w:noProof/>
                <w:webHidden/>
              </w:rPr>
              <w:fldChar w:fldCharType="separate"/>
            </w:r>
            <w:r>
              <w:rPr>
                <w:noProof/>
                <w:webHidden/>
              </w:rPr>
              <w:t>3</w:t>
            </w:r>
            <w:r>
              <w:rPr>
                <w:noProof/>
                <w:webHidden/>
              </w:rPr>
              <w:fldChar w:fldCharType="end"/>
            </w:r>
          </w:hyperlink>
        </w:p>
        <w:p w14:paraId="7ACD076C" w14:textId="3B24868E" w:rsidR="008957F9" w:rsidRDefault="008957F9">
          <w:pPr>
            <w:pStyle w:val="TOC3"/>
            <w:tabs>
              <w:tab w:val="right" w:leader="dot" w:pos="9016"/>
            </w:tabs>
            <w:rPr>
              <w:rFonts w:eastAsiaTheme="minorEastAsia"/>
              <w:noProof/>
              <w:kern w:val="2"/>
              <w:lang w:eastAsia="en-GB"/>
              <w14:ligatures w14:val="standardContextual"/>
            </w:rPr>
          </w:pPr>
          <w:hyperlink w:anchor="_Toc233272886" w:history="1">
            <w:r w:rsidRPr="001806CE">
              <w:rPr>
                <w:rStyle w:val="Hyperlink"/>
                <w:noProof/>
              </w:rPr>
              <w:t>Proposed Government Actions</w:t>
            </w:r>
            <w:r>
              <w:rPr>
                <w:noProof/>
                <w:webHidden/>
              </w:rPr>
              <w:tab/>
            </w:r>
            <w:r>
              <w:rPr>
                <w:noProof/>
                <w:webHidden/>
              </w:rPr>
              <w:fldChar w:fldCharType="begin"/>
            </w:r>
            <w:r>
              <w:rPr>
                <w:noProof/>
                <w:webHidden/>
              </w:rPr>
              <w:instrText xml:space="preserve"> PAGEREF _Toc233272886 \h </w:instrText>
            </w:r>
            <w:r>
              <w:rPr>
                <w:noProof/>
                <w:webHidden/>
              </w:rPr>
            </w:r>
            <w:r>
              <w:rPr>
                <w:noProof/>
                <w:webHidden/>
              </w:rPr>
              <w:fldChar w:fldCharType="separate"/>
            </w:r>
            <w:r>
              <w:rPr>
                <w:noProof/>
                <w:webHidden/>
              </w:rPr>
              <w:t>3</w:t>
            </w:r>
            <w:r>
              <w:rPr>
                <w:noProof/>
                <w:webHidden/>
              </w:rPr>
              <w:fldChar w:fldCharType="end"/>
            </w:r>
          </w:hyperlink>
        </w:p>
        <w:p w14:paraId="26A2A9CE" w14:textId="67C51D1D" w:rsidR="008957F9" w:rsidRDefault="008957F9">
          <w:pPr>
            <w:pStyle w:val="TOC3"/>
            <w:tabs>
              <w:tab w:val="right" w:leader="dot" w:pos="9016"/>
            </w:tabs>
            <w:rPr>
              <w:rFonts w:eastAsiaTheme="minorEastAsia"/>
              <w:noProof/>
              <w:kern w:val="2"/>
              <w:lang w:eastAsia="en-GB"/>
              <w14:ligatures w14:val="standardContextual"/>
            </w:rPr>
          </w:pPr>
          <w:hyperlink w:anchor="_Toc233272887" w:history="1">
            <w:r w:rsidRPr="001806CE">
              <w:rPr>
                <w:rStyle w:val="Hyperlink"/>
                <w:noProof/>
              </w:rPr>
              <w:t>Indicative Cost</w:t>
            </w:r>
            <w:r>
              <w:rPr>
                <w:noProof/>
                <w:webHidden/>
              </w:rPr>
              <w:tab/>
            </w:r>
            <w:r>
              <w:rPr>
                <w:noProof/>
                <w:webHidden/>
              </w:rPr>
              <w:fldChar w:fldCharType="begin"/>
            </w:r>
            <w:r>
              <w:rPr>
                <w:noProof/>
                <w:webHidden/>
              </w:rPr>
              <w:instrText xml:space="preserve"> PAGEREF _Toc233272887 \h </w:instrText>
            </w:r>
            <w:r>
              <w:rPr>
                <w:noProof/>
                <w:webHidden/>
              </w:rPr>
            </w:r>
            <w:r>
              <w:rPr>
                <w:noProof/>
                <w:webHidden/>
              </w:rPr>
              <w:fldChar w:fldCharType="separate"/>
            </w:r>
            <w:r>
              <w:rPr>
                <w:noProof/>
                <w:webHidden/>
              </w:rPr>
              <w:t>4</w:t>
            </w:r>
            <w:r>
              <w:rPr>
                <w:noProof/>
                <w:webHidden/>
              </w:rPr>
              <w:fldChar w:fldCharType="end"/>
            </w:r>
          </w:hyperlink>
        </w:p>
        <w:p w14:paraId="49590925" w14:textId="22F8A346" w:rsidR="008957F9" w:rsidRDefault="008957F9">
          <w:pPr>
            <w:pStyle w:val="TOC3"/>
            <w:tabs>
              <w:tab w:val="right" w:leader="dot" w:pos="9016"/>
            </w:tabs>
            <w:rPr>
              <w:rFonts w:eastAsiaTheme="minorEastAsia"/>
              <w:noProof/>
              <w:kern w:val="2"/>
              <w:lang w:eastAsia="en-GB"/>
              <w14:ligatures w14:val="standardContextual"/>
            </w:rPr>
          </w:pPr>
          <w:hyperlink w:anchor="_Toc233272888" w:history="1">
            <w:r w:rsidRPr="001806CE">
              <w:rPr>
                <w:rStyle w:val="Hyperlink"/>
                <w:noProof/>
              </w:rPr>
              <w:t>Expected Outcomes</w:t>
            </w:r>
            <w:r>
              <w:rPr>
                <w:noProof/>
                <w:webHidden/>
              </w:rPr>
              <w:tab/>
            </w:r>
            <w:r>
              <w:rPr>
                <w:noProof/>
                <w:webHidden/>
              </w:rPr>
              <w:fldChar w:fldCharType="begin"/>
            </w:r>
            <w:r>
              <w:rPr>
                <w:noProof/>
                <w:webHidden/>
              </w:rPr>
              <w:instrText xml:space="preserve"> PAGEREF _Toc233272888 \h </w:instrText>
            </w:r>
            <w:r>
              <w:rPr>
                <w:noProof/>
                <w:webHidden/>
              </w:rPr>
            </w:r>
            <w:r>
              <w:rPr>
                <w:noProof/>
                <w:webHidden/>
              </w:rPr>
              <w:fldChar w:fldCharType="separate"/>
            </w:r>
            <w:r>
              <w:rPr>
                <w:noProof/>
                <w:webHidden/>
              </w:rPr>
              <w:t>5</w:t>
            </w:r>
            <w:r>
              <w:rPr>
                <w:noProof/>
                <w:webHidden/>
              </w:rPr>
              <w:fldChar w:fldCharType="end"/>
            </w:r>
          </w:hyperlink>
        </w:p>
        <w:p w14:paraId="77C0AAF4" w14:textId="08AF4569" w:rsidR="008957F9" w:rsidRDefault="008957F9">
          <w:pPr>
            <w:pStyle w:val="TOC3"/>
            <w:tabs>
              <w:tab w:val="right" w:leader="dot" w:pos="9016"/>
            </w:tabs>
            <w:rPr>
              <w:rFonts w:eastAsiaTheme="minorEastAsia"/>
              <w:noProof/>
              <w:kern w:val="2"/>
              <w:lang w:eastAsia="en-GB"/>
              <w14:ligatures w14:val="standardContextual"/>
            </w:rPr>
          </w:pPr>
          <w:hyperlink w:anchor="_Toc233272889" w:history="1">
            <w:r w:rsidRPr="001806CE">
              <w:rPr>
                <w:rStyle w:val="Hyperlink"/>
                <w:noProof/>
              </w:rPr>
              <w:t>Decision</w:t>
            </w:r>
            <w:r>
              <w:rPr>
                <w:noProof/>
                <w:webHidden/>
              </w:rPr>
              <w:tab/>
            </w:r>
            <w:r>
              <w:rPr>
                <w:noProof/>
                <w:webHidden/>
              </w:rPr>
              <w:fldChar w:fldCharType="begin"/>
            </w:r>
            <w:r>
              <w:rPr>
                <w:noProof/>
                <w:webHidden/>
              </w:rPr>
              <w:instrText xml:space="preserve"> PAGEREF _Toc233272889 \h </w:instrText>
            </w:r>
            <w:r>
              <w:rPr>
                <w:noProof/>
                <w:webHidden/>
              </w:rPr>
            </w:r>
            <w:r>
              <w:rPr>
                <w:noProof/>
                <w:webHidden/>
              </w:rPr>
              <w:fldChar w:fldCharType="separate"/>
            </w:r>
            <w:r>
              <w:rPr>
                <w:noProof/>
                <w:webHidden/>
              </w:rPr>
              <w:t>5</w:t>
            </w:r>
            <w:r>
              <w:rPr>
                <w:noProof/>
                <w:webHidden/>
              </w:rPr>
              <w:fldChar w:fldCharType="end"/>
            </w:r>
          </w:hyperlink>
        </w:p>
        <w:p w14:paraId="356B3CAA" w14:textId="601F3E52" w:rsidR="008957F9" w:rsidRDefault="008957F9">
          <w:pPr>
            <w:pStyle w:val="TOC2"/>
            <w:tabs>
              <w:tab w:val="right" w:leader="dot" w:pos="9016"/>
            </w:tabs>
            <w:rPr>
              <w:rFonts w:eastAsiaTheme="minorEastAsia"/>
              <w:noProof/>
              <w:kern w:val="2"/>
              <w:lang w:eastAsia="en-GB"/>
              <w14:ligatures w14:val="standardContextual"/>
            </w:rPr>
          </w:pPr>
          <w:hyperlink w:anchor="_Toc233272890" w:history="1">
            <w:r w:rsidRPr="001806CE">
              <w:rPr>
                <w:rStyle w:val="Hyperlink"/>
                <w:noProof/>
                <w:lang w:eastAsia="en-AU"/>
              </w:rPr>
              <w:t>Executive Summary</w:t>
            </w:r>
            <w:r>
              <w:rPr>
                <w:noProof/>
                <w:webHidden/>
              </w:rPr>
              <w:tab/>
            </w:r>
            <w:r>
              <w:rPr>
                <w:noProof/>
                <w:webHidden/>
              </w:rPr>
              <w:fldChar w:fldCharType="begin"/>
            </w:r>
            <w:r>
              <w:rPr>
                <w:noProof/>
                <w:webHidden/>
              </w:rPr>
              <w:instrText xml:space="preserve"> PAGEREF _Toc233272890 \h </w:instrText>
            </w:r>
            <w:r>
              <w:rPr>
                <w:noProof/>
                <w:webHidden/>
              </w:rPr>
            </w:r>
            <w:r>
              <w:rPr>
                <w:noProof/>
                <w:webHidden/>
              </w:rPr>
              <w:fldChar w:fldCharType="separate"/>
            </w:r>
            <w:r>
              <w:rPr>
                <w:noProof/>
                <w:webHidden/>
              </w:rPr>
              <w:t>6</w:t>
            </w:r>
            <w:r>
              <w:rPr>
                <w:noProof/>
                <w:webHidden/>
              </w:rPr>
              <w:fldChar w:fldCharType="end"/>
            </w:r>
          </w:hyperlink>
        </w:p>
        <w:p w14:paraId="6E03207E" w14:textId="7A3C31DB" w:rsidR="008957F9" w:rsidRDefault="008957F9">
          <w:pPr>
            <w:pStyle w:val="TOC3"/>
            <w:tabs>
              <w:tab w:val="right" w:leader="dot" w:pos="9016"/>
            </w:tabs>
            <w:rPr>
              <w:rFonts w:eastAsiaTheme="minorEastAsia"/>
              <w:noProof/>
              <w:kern w:val="2"/>
              <w:lang w:eastAsia="en-GB"/>
              <w14:ligatures w14:val="standardContextual"/>
            </w:rPr>
          </w:pPr>
          <w:hyperlink w:anchor="_Toc233272891" w:history="1">
            <w:r w:rsidRPr="001806CE">
              <w:rPr>
                <w:rStyle w:val="Hyperlink"/>
                <w:noProof/>
                <w:lang w:eastAsia="en-AU"/>
              </w:rPr>
              <w:t>Key Messages for Decision-Makers</w:t>
            </w:r>
            <w:r>
              <w:rPr>
                <w:noProof/>
                <w:webHidden/>
              </w:rPr>
              <w:tab/>
            </w:r>
            <w:r>
              <w:rPr>
                <w:noProof/>
                <w:webHidden/>
              </w:rPr>
              <w:fldChar w:fldCharType="begin"/>
            </w:r>
            <w:r>
              <w:rPr>
                <w:noProof/>
                <w:webHidden/>
              </w:rPr>
              <w:instrText xml:space="preserve"> PAGEREF _Toc233272891 \h </w:instrText>
            </w:r>
            <w:r>
              <w:rPr>
                <w:noProof/>
                <w:webHidden/>
              </w:rPr>
            </w:r>
            <w:r>
              <w:rPr>
                <w:noProof/>
                <w:webHidden/>
              </w:rPr>
              <w:fldChar w:fldCharType="separate"/>
            </w:r>
            <w:r>
              <w:rPr>
                <w:noProof/>
                <w:webHidden/>
              </w:rPr>
              <w:t>7</w:t>
            </w:r>
            <w:r>
              <w:rPr>
                <w:noProof/>
                <w:webHidden/>
              </w:rPr>
              <w:fldChar w:fldCharType="end"/>
            </w:r>
          </w:hyperlink>
        </w:p>
        <w:p w14:paraId="090280B5" w14:textId="3DE02C35" w:rsidR="008957F9" w:rsidRDefault="008957F9">
          <w:pPr>
            <w:pStyle w:val="TOC2"/>
            <w:tabs>
              <w:tab w:val="right" w:leader="dot" w:pos="9016"/>
            </w:tabs>
            <w:rPr>
              <w:rFonts w:eastAsiaTheme="minorEastAsia"/>
              <w:noProof/>
              <w:kern w:val="2"/>
              <w:lang w:eastAsia="en-GB"/>
              <w14:ligatures w14:val="standardContextual"/>
            </w:rPr>
          </w:pPr>
          <w:hyperlink w:anchor="_Toc233272892" w:history="1">
            <w:r w:rsidRPr="001806CE">
              <w:rPr>
                <w:rStyle w:val="Hyperlink"/>
                <w:noProof/>
                <w:lang w:eastAsia="en-AU"/>
              </w:rPr>
              <w:t>1. Introduction</w:t>
            </w:r>
            <w:r>
              <w:rPr>
                <w:noProof/>
                <w:webHidden/>
              </w:rPr>
              <w:tab/>
            </w:r>
            <w:r>
              <w:rPr>
                <w:noProof/>
                <w:webHidden/>
              </w:rPr>
              <w:fldChar w:fldCharType="begin"/>
            </w:r>
            <w:r>
              <w:rPr>
                <w:noProof/>
                <w:webHidden/>
              </w:rPr>
              <w:instrText xml:space="preserve"> PAGEREF _Toc233272892 \h </w:instrText>
            </w:r>
            <w:r>
              <w:rPr>
                <w:noProof/>
                <w:webHidden/>
              </w:rPr>
            </w:r>
            <w:r>
              <w:rPr>
                <w:noProof/>
                <w:webHidden/>
              </w:rPr>
              <w:fldChar w:fldCharType="separate"/>
            </w:r>
            <w:r>
              <w:rPr>
                <w:noProof/>
                <w:webHidden/>
              </w:rPr>
              <w:t>7</w:t>
            </w:r>
            <w:r>
              <w:rPr>
                <w:noProof/>
                <w:webHidden/>
              </w:rPr>
              <w:fldChar w:fldCharType="end"/>
            </w:r>
          </w:hyperlink>
        </w:p>
        <w:p w14:paraId="401047D7" w14:textId="7297A5DE" w:rsidR="008957F9" w:rsidRDefault="008957F9">
          <w:pPr>
            <w:pStyle w:val="TOC2"/>
            <w:tabs>
              <w:tab w:val="right" w:leader="dot" w:pos="9016"/>
            </w:tabs>
            <w:rPr>
              <w:rFonts w:eastAsiaTheme="minorEastAsia"/>
              <w:noProof/>
              <w:kern w:val="2"/>
              <w:lang w:eastAsia="en-GB"/>
              <w14:ligatures w14:val="standardContextual"/>
            </w:rPr>
          </w:pPr>
          <w:hyperlink w:anchor="_Toc233272893" w:history="1">
            <w:r w:rsidRPr="001806CE">
              <w:rPr>
                <w:rStyle w:val="Hyperlink"/>
                <w:noProof/>
                <w:lang w:eastAsia="en-AU"/>
              </w:rPr>
              <w:t>2. Economic and Human Impact</w:t>
            </w:r>
            <w:r>
              <w:rPr>
                <w:noProof/>
                <w:webHidden/>
              </w:rPr>
              <w:tab/>
            </w:r>
            <w:r>
              <w:rPr>
                <w:noProof/>
                <w:webHidden/>
              </w:rPr>
              <w:fldChar w:fldCharType="begin"/>
            </w:r>
            <w:r>
              <w:rPr>
                <w:noProof/>
                <w:webHidden/>
              </w:rPr>
              <w:instrText xml:space="preserve"> PAGEREF _Toc233272893 \h </w:instrText>
            </w:r>
            <w:r>
              <w:rPr>
                <w:noProof/>
                <w:webHidden/>
              </w:rPr>
            </w:r>
            <w:r>
              <w:rPr>
                <w:noProof/>
                <w:webHidden/>
              </w:rPr>
              <w:fldChar w:fldCharType="separate"/>
            </w:r>
            <w:r>
              <w:rPr>
                <w:noProof/>
                <w:webHidden/>
              </w:rPr>
              <w:t>8</w:t>
            </w:r>
            <w:r>
              <w:rPr>
                <w:noProof/>
                <w:webHidden/>
              </w:rPr>
              <w:fldChar w:fldCharType="end"/>
            </w:r>
          </w:hyperlink>
        </w:p>
        <w:p w14:paraId="4BA0E3C3" w14:textId="62857779" w:rsidR="008957F9" w:rsidRDefault="008957F9">
          <w:pPr>
            <w:pStyle w:val="TOC2"/>
            <w:tabs>
              <w:tab w:val="right" w:leader="dot" w:pos="9016"/>
            </w:tabs>
            <w:rPr>
              <w:rFonts w:eastAsiaTheme="minorEastAsia"/>
              <w:noProof/>
              <w:kern w:val="2"/>
              <w:lang w:eastAsia="en-GB"/>
              <w14:ligatures w14:val="standardContextual"/>
            </w:rPr>
          </w:pPr>
          <w:hyperlink w:anchor="_Toc233272894" w:history="1">
            <w:r w:rsidRPr="001806CE">
              <w:rPr>
                <w:rStyle w:val="Hyperlink"/>
                <w:noProof/>
              </w:rPr>
              <w:t>3. Advocacy Priority One:</w:t>
            </w:r>
            <w:r>
              <w:rPr>
                <w:noProof/>
                <w:webHidden/>
              </w:rPr>
              <w:tab/>
            </w:r>
            <w:r>
              <w:rPr>
                <w:noProof/>
                <w:webHidden/>
              </w:rPr>
              <w:fldChar w:fldCharType="begin"/>
            </w:r>
            <w:r>
              <w:rPr>
                <w:noProof/>
                <w:webHidden/>
              </w:rPr>
              <w:instrText xml:space="preserve"> PAGEREF _Toc233272894 \h </w:instrText>
            </w:r>
            <w:r>
              <w:rPr>
                <w:noProof/>
                <w:webHidden/>
              </w:rPr>
            </w:r>
            <w:r>
              <w:rPr>
                <w:noProof/>
                <w:webHidden/>
              </w:rPr>
              <w:fldChar w:fldCharType="separate"/>
            </w:r>
            <w:r>
              <w:rPr>
                <w:noProof/>
                <w:webHidden/>
              </w:rPr>
              <w:t>9</w:t>
            </w:r>
            <w:r>
              <w:rPr>
                <w:noProof/>
                <w:webHidden/>
              </w:rPr>
              <w:fldChar w:fldCharType="end"/>
            </w:r>
          </w:hyperlink>
        </w:p>
        <w:p w14:paraId="764E95D0" w14:textId="3FEBACE3" w:rsidR="008957F9" w:rsidRDefault="008957F9">
          <w:pPr>
            <w:pStyle w:val="TOC2"/>
            <w:tabs>
              <w:tab w:val="right" w:leader="dot" w:pos="9016"/>
            </w:tabs>
            <w:rPr>
              <w:rFonts w:eastAsiaTheme="minorEastAsia"/>
              <w:noProof/>
              <w:kern w:val="2"/>
              <w:lang w:eastAsia="en-GB"/>
              <w14:ligatures w14:val="standardContextual"/>
            </w:rPr>
          </w:pPr>
          <w:hyperlink w:anchor="_Toc233272895" w:history="1">
            <w:r w:rsidRPr="001806CE">
              <w:rPr>
                <w:rStyle w:val="Hyperlink"/>
                <w:noProof/>
              </w:rPr>
              <w:t>National Data and Identification Framework</w:t>
            </w:r>
            <w:r>
              <w:rPr>
                <w:noProof/>
                <w:webHidden/>
              </w:rPr>
              <w:tab/>
            </w:r>
            <w:r>
              <w:rPr>
                <w:noProof/>
                <w:webHidden/>
              </w:rPr>
              <w:fldChar w:fldCharType="begin"/>
            </w:r>
            <w:r>
              <w:rPr>
                <w:noProof/>
                <w:webHidden/>
              </w:rPr>
              <w:instrText xml:space="preserve"> PAGEREF _Toc233272895 \h </w:instrText>
            </w:r>
            <w:r>
              <w:rPr>
                <w:noProof/>
                <w:webHidden/>
              </w:rPr>
            </w:r>
            <w:r>
              <w:rPr>
                <w:noProof/>
                <w:webHidden/>
              </w:rPr>
              <w:fldChar w:fldCharType="separate"/>
            </w:r>
            <w:r>
              <w:rPr>
                <w:noProof/>
                <w:webHidden/>
              </w:rPr>
              <w:t>9</w:t>
            </w:r>
            <w:r>
              <w:rPr>
                <w:noProof/>
                <w:webHidden/>
              </w:rPr>
              <w:fldChar w:fldCharType="end"/>
            </w:r>
          </w:hyperlink>
        </w:p>
        <w:p w14:paraId="3FD654EF" w14:textId="7266D083" w:rsidR="008957F9" w:rsidRDefault="008957F9">
          <w:pPr>
            <w:pStyle w:val="TOC2"/>
            <w:tabs>
              <w:tab w:val="right" w:leader="dot" w:pos="9016"/>
            </w:tabs>
            <w:rPr>
              <w:rFonts w:eastAsiaTheme="minorEastAsia"/>
              <w:noProof/>
              <w:kern w:val="2"/>
              <w:lang w:eastAsia="en-GB"/>
              <w14:ligatures w14:val="standardContextual"/>
            </w:rPr>
          </w:pPr>
          <w:hyperlink w:anchor="_Toc233272896" w:history="1">
            <w:r w:rsidRPr="001806CE">
              <w:rPr>
                <w:rStyle w:val="Hyperlink"/>
                <w:noProof/>
                <w:lang w:eastAsia="en-AU"/>
              </w:rPr>
              <w:t>4. Advocacy Priority Two:</w:t>
            </w:r>
            <w:r>
              <w:rPr>
                <w:noProof/>
                <w:webHidden/>
              </w:rPr>
              <w:tab/>
            </w:r>
            <w:r>
              <w:rPr>
                <w:noProof/>
                <w:webHidden/>
              </w:rPr>
              <w:fldChar w:fldCharType="begin"/>
            </w:r>
            <w:r>
              <w:rPr>
                <w:noProof/>
                <w:webHidden/>
              </w:rPr>
              <w:instrText xml:space="preserve"> PAGEREF _Toc233272896 \h </w:instrText>
            </w:r>
            <w:r>
              <w:rPr>
                <w:noProof/>
                <w:webHidden/>
              </w:rPr>
            </w:r>
            <w:r>
              <w:rPr>
                <w:noProof/>
                <w:webHidden/>
              </w:rPr>
              <w:fldChar w:fldCharType="separate"/>
            </w:r>
            <w:r>
              <w:rPr>
                <w:noProof/>
                <w:webHidden/>
              </w:rPr>
              <w:t>10</w:t>
            </w:r>
            <w:r>
              <w:rPr>
                <w:noProof/>
                <w:webHidden/>
              </w:rPr>
              <w:fldChar w:fldCharType="end"/>
            </w:r>
          </w:hyperlink>
        </w:p>
        <w:p w14:paraId="1C851EC8" w14:textId="38B66499" w:rsidR="008957F9" w:rsidRDefault="008957F9">
          <w:pPr>
            <w:pStyle w:val="TOC2"/>
            <w:tabs>
              <w:tab w:val="right" w:leader="dot" w:pos="9016"/>
            </w:tabs>
            <w:rPr>
              <w:rFonts w:eastAsiaTheme="minorEastAsia"/>
              <w:noProof/>
              <w:kern w:val="2"/>
              <w:lang w:eastAsia="en-GB"/>
              <w14:ligatures w14:val="standardContextual"/>
            </w:rPr>
          </w:pPr>
          <w:hyperlink w:anchor="_Toc233272897" w:history="1">
            <w:r w:rsidRPr="001806CE">
              <w:rPr>
                <w:rStyle w:val="Hyperlink"/>
                <w:noProof/>
                <w:lang w:eastAsia="en-AU"/>
              </w:rPr>
              <w:t>Sustainable Funding for Deafblind-Led Peer Support and Information Hubs</w:t>
            </w:r>
            <w:r>
              <w:rPr>
                <w:noProof/>
                <w:webHidden/>
              </w:rPr>
              <w:tab/>
            </w:r>
            <w:r>
              <w:rPr>
                <w:noProof/>
                <w:webHidden/>
              </w:rPr>
              <w:fldChar w:fldCharType="begin"/>
            </w:r>
            <w:r>
              <w:rPr>
                <w:noProof/>
                <w:webHidden/>
              </w:rPr>
              <w:instrText xml:space="preserve"> PAGEREF _Toc233272897 \h </w:instrText>
            </w:r>
            <w:r>
              <w:rPr>
                <w:noProof/>
                <w:webHidden/>
              </w:rPr>
            </w:r>
            <w:r>
              <w:rPr>
                <w:noProof/>
                <w:webHidden/>
              </w:rPr>
              <w:fldChar w:fldCharType="separate"/>
            </w:r>
            <w:r>
              <w:rPr>
                <w:noProof/>
                <w:webHidden/>
              </w:rPr>
              <w:t>10</w:t>
            </w:r>
            <w:r>
              <w:rPr>
                <w:noProof/>
                <w:webHidden/>
              </w:rPr>
              <w:fldChar w:fldCharType="end"/>
            </w:r>
          </w:hyperlink>
        </w:p>
        <w:p w14:paraId="39FA9CD9" w14:textId="1294C590" w:rsidR="008957F9" w:rsidRDefault="008957F9">
          <w:pPr>
            <w:pStyle w:val="TOC2"/>
            <w:tabs>
              <w:tab w:val="right" w:leader="dot" w:pos="9016"/>
            </w:tabs>
            <w:rPr>
              <w:rFonts w:eastAsiaTheme="minorEastAsia"/>
              <w:noProof/>
              <w:kern w:val="2"/>
              <w:lang w:eastAsia="en-GB"/>
              <w14:ligatures w14:val="standardContextual"/>
            </w:rPr>
          </w:pPr>
          <w:hyperlink w:anchor="_Toc233272898" w:history="1">
            <w:r w:rsidRPr="001806CE">
              <w:rPr>
                <w:rStyle w:val="Hyperlink"/>
                <w:noProof/>
                <w:lang w:eastAsia="en-AU"/>
              </w:rPr>
              <w:t>5. Advocacy Priority Three:</w:t>
            </w:r>
            <w:r>
              <w:rPr>
                <w:noProof/>
                <w:webHidden/>
              </w:rPr>
              <w:tab/>
            </w:r>
            <w:r>
              <w:rPr>
                <w:noProof/>
                <w:webHidden/>
              </w:rPr>
              <w:fldChar w:fldCharType="begin"/>
            </w:r>
            <w:r>
              <w:rPr>
                <w:noProof/>
                <w:webHidden/>
              </w:rPr>
              <w:instrText xml:space="preserve"> PAGEREF _Toc233272898 \h </w:instrText>
            </w:r>
            <w:r>
              <w:rPr>
                <w:noProof/>
                <w:webHidden/>
              </w:rPr>
            </w:r>
            <w:r>
              <w:rPr>
                <w:noProof/>
                <w:webHidden/>
              </w:rPr>
              <w:fldChar w:fldCharType="separate"/>
            </w:r>
            <w:r>
              <w:rPr>
                <w:noProof/>
                <w:webHidden/>
              </w:rPr>
              <w:t>12</w:t>
            </w:r>
            <w:r>
              <w:rPr>
                <w:noProof/>
                <w:webHidden/>
              </w:rPr>
              <w:fldChar w:fldCharType="end"/>
            </w:r>
          </w:hyperlink>
        </w:p>
        <w:p w14:paraId="5E600187" w14:textId="76AD34EE" w:rsidR="008957F9" w:rsidRDefault="008957F9">
          <w:pPr>
            <w:pStyle w:val="TOC2"/>
            <w:tabs>
              <w:tab w:val="right" w:leader="dot" w:pos="9016"/>
            </w:tabs>
            <w:rPr>
              <w:rFonts w:eastAsiaTheme="minorEastAsia"/>
              <w:noProof/>
              <w:kern w:val="2"/>
              <w:lang w:eastAsia="en-GB"/>
              <w14:ligatures w14:val="standardContextual"/>
            </w:rPr>
          </w:pPr>
          <w:hyperlink w:anchor="_Toc233272899" w:history="1">
            <w:r w:rsidRPr="001806CE">
              <w:rPr>
                <w:rStyle w:val="Hyperlink"/>
                <w:noProof/>
                <w:lang w:eastAsia="en-AU"/>
              </w:rPr>
              <w:t>Awareness, Training, and Workforce Capability</w:t>
            </w:r>
            <w:r>
              <w:rPr>
                <w:noProof/>
                <w:webHidden/>
              </w:rPr>
              <w:tab/>
            </w:r>
            <w:r>
              <w:rPr>
                <w:noProof/>
                <w:webHidden/>
              </w:rPr>
              <w:fldChar w:fldCharType="begin"/>
            </w:r>
            <w:r>
              <w:rPr>
                <w:noProof/>
                <w:webHidden/>
              </w:rPr>
              <w:instrText xml:space="preserve"> PAGEREF _Toc233272899 \h </w:instrText>
            </w:r>
            <w:r>
              <w:rPr>
                <w:noProof/>
                <w:webHidden/>
              </w:rPr>
            </w:r>
            <w:r>
              <w:rPr>
                <w:noProof/>
                <w:webHidden/>
              </w:rPr>
              <w:fldChar w:fldCharType="separate"/>
            </w:r>
            <w:r>
              <w:rPr>
                <w:noProof/>
                <w:webHidden/>
              </w:rPr>
              <w:t>12</w:t>
            </w:r>
            <w:r>
              <w:rPr>
                <w:noProof/>
                <w:webHidden/>
              </w:rPr>
              <w:fldChar w:fldCharType="end"/>
            </w:r>
          </w:hyperlink>
        </w:p>
        <w:p w14:paraId="242789F0" w14:textId="0A5B9095" w:rsidR="008957F9" w:rsidRDefault="008957F9">
          <w:pPr>
            <w:pStyle w:val="TOC2"/>
            <w:tabs>
              <w:tab w:val="right" w:leader="dot" w:pos="9016"/>
            </w:tabs>
            <w:rPr>
              <w:rFonts w:eastAsiaTheme="minorEastAsia"/>
              <w:noProof/>
              <w:kern w:val="2"/>
              <w:lang w:eastAsia="en-GB"/>
              <w14:ligatures w14:val="standardContextual"/>
            </w:rPr>
          </w:pPr>
          <w:hyperlink w:anchor="_Toc233272900" w:history="1">
            <w:r w:rsidRPr="001806CE">
              <w:rPr>
                <w:rStyle w:val="Hyperlink"/>
                <w:noProof/>
                <w:lang w:eastAsia="en-AU"/>
              </w:rPr>
              <w:t>6. Implementation Considerations</w:t>
            </w:r>
            <w:r>
              <w:rPr>
                <w:noProof/>
                <w:webHidden/>
              </w:rPr>
              <w:tab/>
            </w:r>
            <w:r>
              <w:rPr>
                <w:noProof/>
                <w:webHidden/>
              </w:rPr>
              <w:fldChar w:fldCharType="begin"/>
            </w:r>
            <w:r>
              <w:rPr>
                <w:noProof/>
                <w:webHidden/>
              </w:rPr>
              <w:instrText xml:space="preserve"> PAGEREF _Toc233272900 \h </w:instrText>
            </w:r>
            <w:r>
              <w:rPr>
                <w:noProof/>
                <w:webHidden/>
              </w:rPr>
            </w:r>
            <w:r>
              <w:rPr>
                <w:noProof/>
                <w:webHidden/>
              </w:rPr>
              <w:fldChar w:fldCharType="separate"/>
            </w:r>
            <w:r>
              <w:rPr>
                <w:noProof/>
                <w:webHidden/>
              </w:rPr>
              <w:t>13</w:t>
            </w:r>
            <w:r>
              <w:rPr>
                <w:noProof/>
                <w:webHidden/>
              </w:rPr>
              <w:fldChar w:fldCharType="end"/>
            </w:r>
          </w:hyperlink>
        </w:p>
        <w:p w14:paraId="1BE37343" w14:textId="56AE14E0" w:rsidR="008957F9" w:rsidRDefault="008957F9">
          <w:pPr>
            <w:pStyle w:val="TOC2"/>
            <w:tabs>
              <w:tab w:val="right" w:leader="dot" w:pos="9016"/>
            </w:tabs>
            <w:rPr>
              <w:rFonts w:eastAsiaTheme="minorEastAsia"/>
              <w:noProof/>
              <w:kern w:val="2"/>
              <w:lang w:eastAsia="en-GB"/>
              <w14:ligatures w14:val="standardContextual"/>
            </w:rPr>
          </w:pPr>
          <w:hyperlink w:anchor="_Toc233272901" w:history="1">
            <w:r w:rsidRPr="001806CE">
              <w:rPr>
                <w:rStyle w:val="Hyperlink"/>
                <w:noProof/>
              </w:rPr>
              <w:t>7. Conclusion: A Strategic Opportunity for Government</w:t>
            </w:r>
            <w:r>
              <w:rPr>
                <w:noProof/>
                <w:webHidden/>
              </w:rPr>
              <w:tab/>
            </w:r>
            <w:r>
              <w:rPr>
                <w:noProof/>
                <w:webHidden/>
              </w:rPr>
              <w:fldChar w:fldCharType="begin"/>
            </w:r>
            <w:r>
              <w:rPr>
                <w:noProof/>
                <w:webHidden/>
              </w:rPr>
              <w:instrText xml:space="preserve"> PAGEREF _Toc233272901 \h </w:instrText>
            </w:r>
            <w:r>
              <w:rPr>
                <w:noProof/>
                <w:webHidden/>
              </w:rPr>
            </w:r>
            <w:r>
              <w:rPr>
                <w:noProof/>
                <w:webHidden/>
              </w:rPr>
              <w:fldChar w:fldCharType="separate"/>
            </w:r>
            <w:r>
              <w:rPr>
                <w:noProof/>
                <w:webHidden/>
              </w:rPr>
              <w:t>13</w:t>
            </w:r>
            <w:r>
              <w:rPr>
                <w:noProof/>
                <w:webHidden/>
              </w:rPr>
              <w:fldChar w:fldCharType="end"/>
            </w:r>
          </w:hyperlink>
        </w:p>
        <w:p w14:paraId="1E238234" w14:textId="32AAA370" w:rsidR="003F0171" w:rsidRPr="003F0171" w:rsidRDefault="0060677B" w:rsidP="00CD5C14">
          <w:pPr>
            <w:ind w:right="-472"/>
            <w:rPr>
              <w:b/>
              <w:bCs/>
              <w:noProof/>
            </w:rPr>
          </w:pPr>
          <w:r>
            <w:rPr>
              <w:noProof/>
            </w:rPr>
            <w:fldChar w:fldCharType="end"/>
          </w:r>
        </w:p>
      </w:sdtContent>
    </w:sdt>
    <w:p w14:paraId="36011752" w14:textId="77777777" w:rsidR="00844BFE" w:rsidRDefault="00844BFE">
      <w:pPr>
        <w:spacing w:after="0" w:line="240" w:lineRule="auto"/>
        <w:rPr>
          <w:rFonts w:cstheme="majorHAnsi"/>
          <w:b/>
          <w:bCs/>
          <w:color w:val="000050" w:themeColor="accent1"/>
          <w:sz w:val="40"/>
          <w:szCs w:val="36"/>
        </w:rPr>
      </w:pPr>
      <w:r>
        <w:br w:type="page"/>
      </w:r>
    </w:p>
    <w:p w14:paraId="48D747D8" w14:textId="3BDA0510" w:rsidR="00871C76" w:rsidRPr="00871C76" w:rsidRDefault="00871C76" w:rsidP="00871C76">
      <w:pPr>
        <w:pStyle w:val="Heading2"/>
        <w:spacing w:after="0"/>
      </w:pPr>
      <w:bookmarkStart w:id="0" w:name="_Toc233272882"/>
      <w:r>
        <w:lastRenderedPageBreak/>
        <w:t>Government Decision Brief</w:t>
      </w:r>
      <w:bookmarkEnd w:id="0"/>
    </w:p>
    <w:p w14:paraId="67AACAB9" w14:textId="190EA961" w:rsidR="00843D41" w:rsidRPr="00871C76" w:rsidRDefault="00871C76" w:rsidP="00871C76">
      <w:pPr>
        <w:rPr>
          <w:rStyle w:val="SubtleEmphasis"/>
        </w:rPr>
      </w:pPr>
      <w:r>
        <w:rPr>
          <w:rStyle w:val="SubtleEmphasis"/>
        </w:rPr>
        <w:t>Strengthening System Outcomes for Australians with Deafblindness</w:t>
      </w:r>
    </w:p>
    <w:p w14:paraId="4BEB6C7D" w14:textId="77777777" w:rsidR="00871C76" w:rsidRPr="00843D41" w:rsidRDefault="00871C76" w:rsidP="00843D41">
      <w:pPr>
        <w:pStyle w:val="Heading3"/>
      </w:pPr>
      <w:bookmarkStart w:id="1" w:name="_Toc233272883"/>
      <w:r>
        <w:t>Purpose</w:t>
      </w:r>
      <w:bookmarkEnd w:id="1"/>
    </w:p>
    <w:p w14:paraId="7403AA96" w14:textId="19198EAB" w:rsidR="00843D41" w:rsidRPr="00871C76" w:rsidRDefault="00871C76" w:rsidP="00871C76">
      <w:r>
        <w:t>To highlight a systemic policy gap affecting Australians with deafblindness and seek government support for targeted actions that improve outcomes across disability, health, aged-care, and education systems.</w:t>
      </w:r>
    </w:p>
    <w:p w14:paraId="0FFE5AD1" w14:textId="262C7B23" w:rsidR="00871C76" w:rsidRPr="00871C76" w:rsidRDefault="00871C76" w:rsidP="00871C76">
      <w:pPr>
        <w:pStyle w:val="Heading3"/>
      </w:pPr>
      <w:bookmarkStart w:id="2" w:name="_Toc233272884"/>
      <w:r>
        <w:t>Issue</w:t>
      </w:r>
      <w:bookmarkEnd w:id="2"/>
    </w:p>
    <w:p w14:paraId="2BEEC03F" w14:textId="2059BA8D" w:rsidR="00871C76" w:rsidRPr="00871C76" w:rsidRDefault="00871C76" w:rsidP="00871C76">
      <w:r>
        <w:t xml:space="preserve">Deafblindness - the combined loss of hearing and vision - significantly affects communication, access to information, mobility, and independence. Approximately </w:t>
      </w:r>
      <w:r>
        <w:rPr>
          <w:b/>
          <w:bCs/>
        </w:rPr>
        <w:t>556,000 Australians</w:t>
      </w:r>
      <w:r>
        <w:t xml:space="preserve"> are estimated to live with deafblindness, though many remain unidentified within national datasets and service systems.</w:t>
      </w:r>
    </w:p>
    <w:p w14:paraId="0151ECD5" w14:textId="5CE897B4" w:rsidR="00871C76" w:rsidRPr="00871C76" w:rsidRDefault="002129AB" w:rsidP="00871C76">
      <w:r>
        <w:t>Furthermore</w:t>
      </w:r>
      <w:r w:rsidR="00D67C3B">
        <w:t>, deafblindness is rarely recognised as a distinct disability within national data or service systems. Hearing and vision loss are typically recorded separately across disability, health, education and aged-care sectors.</w:t>
      </w:r>
    </w:p>
    <w:p w14:paraId="0151ECD6" w14:textId="7455CACD" w:rsidR="00871C76" w:rsidRPr="00871C76" w:rsidRDefault="00D67C3B" w:rsidP="00871C76">
      <w:r>
        <w:t>Deafblindness includes both acquired dual sensory loss and congenital deafblindness, present from birth. Congenital deafblindness requires identification pathways, family support, and workforce responses that differ substantially from those needed for acquired deafblindness.</w:t>
      </w:r>
    </w:p>
    <w:p w14:paraId="3EF766D8" w14:textId="77777777" w:rsidR="00871C76" w:rsidRPr="00871C76" w:rsidRDefault="00871C76" w:rsidP="00871C76">
      <w:pPr>
        <w:spacing w:after="0"/>
      </w:pPr>
      <w:r>
        <w:t>This creates systemic gaps in:</w:t>
      </w:r>
    </w:p>
    <w:p w14:paraId="3431408A" w14:textId="78837437" w:rsidR="00871C76" w:rsidRPr="00871C76" w:rsidRDefault="00871C76" w:rsidP="00D67C3B">
      <w:pPr>
        <w:pStyle w:val="ListParagraph"/>
        <w:numPr>
          <w:ilvl w:val="0"/>
          <w:numId w:val="24"/>
        </w:numPr>
        <w:spacing w:after="0"/>
      </w:pPr>
      <w:r>
        <w:t>evidence-based policy and service planning</w:t>
      </w:r>
    </w:p>
    <w:p w14:paraId="6085CBCB" w14:textId="04B3A26E" w:rsidR="00871C76" w:rsidRPr="00871C76" w:rsidRDefault="00871C76" w:rsidP="00D67C3B">
      <w:pPr>
        <w:pStyle w:val="ListParagraph"/>
        <w:numPr>
          <w:ilvl w:val="0"/>
          <w:numId w:val="24"/>
        </w:numPr>
        <w:spacing w:after="0"/>
      </w:pPr>
      <w:r>
        <w:t>early identification and intervention</w:t>
      </w:r>
    </w:p>
    <w:p w14:paraId="07E80689" w14:textId="30CF5450" w:rsidR="00871C76" w:rsidRPr="00871C76" w:rsidRDefault="00871C76" w:rsidP="00D67C3B">
      <w:pPr>
        <w:pStyle w:val="ListParagraph"/>
        <w:numPr>
          <w:ilvl w:val="0"/>
          <w:numId w:val="24"/>
        </w:numPr>
        <w:spacing w:after="0"/>
      </w:pPr>
      <w:r>
        <w:t>workforce capability across multiple sectors</w:t>
      </w:r>
    </w:p>
    <w:p w14:paraId="6B4F7CCD" w14:textId="6FB7B62E" w:rsidR="00871C76" w:rsidRPr="00871C76" w:rsidRDefault="00871C76" w:rsidP="00D67C3B">
      <w:pPr>
        <w:pStyle w:val="ListParagraph"/>
        <w:numPr>
          <w:ilvl w:val="0"/>
          <w:numId w:val="24"/>
        </w:numPr>
        <w:spacing w:after="0"/>
      </w:pPr>
      <w:r>
        <w:t>safeguarding and risk identification</w:t>
      </w:r>
    </w:p>
    <w:p w14:paraId="6373A5CD" w14:textId="014F869C" w:rsidR="00871C76" w:rsidRPr="00871C76" w:rsidRDefault="00871C76" w:rsidP="00D67C3B">
      <w:pPr>
        <w:pStyle w:val="ListParagraph"/>
        <w:numPr>
          <w:ilvl w:val="0"/>
          <w:numId w:val="24"/>
        </w:numPr>
      </w:pPr>
      <w:r>
        <w:t>community support infrastructure</w:t>
      </w:r>
    </w:p>
    <w:p w14:paraId="741AC823" w14:textId="1E2B0B85" w:rsidR="00AB42FE" w:rsidRPr="00D67C3B" w:rsidRDefault="00871C76" w:rsidP="00871C76">
      <w:r>
        <w:lastRenderedPageBreak/>
        <w:t>Because people with deafblindness frequently interact with multiple service systems over their lifetime, these gaps reduce the effectiveness and efficiency of government investment across several portfolios.</w:t>
      </w:r>
    </w:p>
    <w:p w14:paraId="1031286C" w14:textId="0F3A2BB3" w:rsidR="00871C76" w:rsidRPr="00843D41" w:rsidRDefault="00871C76" w:rsidP="00843D41">
      <w:pPr>
        <w:pStyle w:val="Heading3"/>
      </w:pPr>
      <w:bookmarkStart w:id="3" w:name="_Toc233272885"/>
      <w:r>
        <w:t>Risks if No Action is Taken</w:t>
      </w:r>
      <w:bookmarkEnd w:id="3"/>
    </w:p>
    <w:p w14:paraId="48E86ED5" w14:textId="77777777" w:rsidR="00871C76" w:rsidRDefault="00871C76" w:rsidP="00871C76">
      <w:pPr>
        <w:spacing w:after="0"/>
      </w:pPr>
      <w:r>
        <w:t>Without targeted policy action, governments are likely to face:</w:t>
      </w:r>
    </w:p>
    <w:p w14:paraId="17F0B2AE" w14:textId="55B1D2DA" w:rsidR="00871C76" w:rsidRPr="00D67C3B" w:rsidRDefault="00871C76" w:rsidP="00D67C3B">
      <w:pPr>
        <w:pStyle w:val="ListParagraph"/>
        <w:numPr>
          <w:ilvl w:val="0"/>
          <w:numId w:val="24"/>
        </w:numPr>
        <w:spacing w:after="0"/>
      </w:pPr>
      <w:r>
        <w:t>inefficient service delivery across disability, health, and aged-care systems</w:t>
      </w:r>
    </w:p>
    <w:p w14:paraId="080373C3" w14:textId="27DA3725" w:rsidR="00871C76" w:rsidRPr="00D67C3B" w:rsidRDefault="00871C76" w:rsidP="00D67C3B">
      <w:pPr>
        <w:pStyle w:val="ListParagraph"/>
        <w:numPr>
          <w:ilvl w:val="0"/>
          <w:numId w:val="24"/>
        </w:numPr>
        <w:spacing w:after="0"/>
      </w:pPr>
      <w:r>
        <w:t>avoidable crisis interventions and hospitalisations caused by communication barriers</w:t>
      </w:r>
    </w:p>
    <w:p w14:paraId="077CBC50" w14:textId="4036BB3C" w:rsidR="00871C76" w:rsidRPr="00D67C3B" w:rsidRDefault="00871C76" w:rsidP="00D67C3B">
      <w:pPr>
        <w:pStyle w:val="ListParagraph"/>
        <w:numPr>
          <w:ilvl w:val="0"/>
          <w:numId w:val="24"/>
        </w:numPr>
        <w:spacing w:after="0"/>
      </w:pPr>
      <w:r>
        <w:t>missed early identification in education and childhood services</w:t>
      </w:r>
    </w:p>
    <w:p w14:paraId="5750EC94" w14:textId="3DA10C7B" w:rsidR="00871C76" w:rsidRPr="00D67C3B" w:rsidRDefault="00871C76" w:rsidP="00D67C3B">
      <w:pPr>
        <w:pStyle w:val="ListParagraph"/>
        <w:numPr>
          <w:ilvl w:val="0"/>
          <w:numId w:val="24"/>
        </w:numPr>
        <w:spacing w:after="0"/>
      </w:pPr>
      <w:r>
        <w:t>increased safeguarding risks, including vulnerability to abuse, neglect, and social isolation</w:t>
      </w:r>
    </w:p>
    <w:p w14:paraId="68ED9CE6" w14:textId="2FB06FA8" w:rsidR="00843D41" w:rsidRPr="00AB42FE" w:rsidRDefault="00871C76" w:rsidP="00843D41">
      <w:pPr>
        <w:pStyle w:val="ListParagraph"/>
        <w:numPr>
          <w:ilvl w:val="0"/>
          <w:numId w:val="24"/>
        </w:numPr>
      </w:pPr>
      <w:r>
        <w:t>higher long-term care costs and reduced workforce participation</w:t>
      </w:r>
    </w:p>
    <w:p w14:paraId="21EDA48E" w14:textId="366C2F8C" w:rsidR="0049205A" w:rsidRPr="0049205A" w:rsidRDefault="00D67C3B" w:rsidP="00D67C3B">
      <w:pPr>
        <w:pStyle w:val="Heading3"/>
        <w:spacing w:before="240"/>
      </w:pPr>
      <w:bookmarkStart w:id="4" w:name="_Toc233272886"/>
      <w:r>
        <w:t>Proposed Government Actions</w:t>
      </w:r>
      <w:bookmarkEnd w:id="4"/>
    </w:p>
    <w:p w14:paraId="34CEA7DD" w14:textId="01007329" w:rsidR="0049205A" w:rsidRPr="0049205A" w:rsidRDefault="00915470" w:rsidP="00CD5C14">
      <w:pPr>
        <w:pStyle w:val="NormalWeb"/>
        <w:spacing w:line="360" w:lineRule="auto"/>
        <w:rPr>
          <w:rFonts w:asciiTheme="minorHAnsi" w:hAnsiTheme="minorHAnsi" w:cstheme="minorHAnsi"/>
          <w:color w:val="000000"/>
        </w:rPr>
      </w:pPr>
      <w:r>
        <w:rPr>
          <w:rFonts w:asciiTheme="minorHAnsi" w:hAnsiTheme="minorHAnsi" w:cstheme="minorHAnsi"/>
          <w:color w:val="000000"/>
        </w:rPr>
        <w:t>Three targeted policy measures could address these systemic gaps.</w:t>
      </w:r>
    </w:p>
    <w:p w14:paraId="770A9FAD" w14:textId="4B338955" w:rsidR="0049205A" w:rsidRPr="0049205A" w:rsidRDefault="0049205A" w:rsidP="00191A34">
      <w:pPr>
        <w:pStyle w:val="Heading4"/>
        <w:numPr>
          <w:ilvl w:val="0"/>
          <w:numId w:val="27"/>
        </w:numPr>
        <w:rPr>
          <w:color w:val="000000"/>
          <w:sz w:val="24"/>
          <w:szCs w:val="24"/>
        </w:rPr>
      </w:pPr>
      <w:r>
        <w:t>Establish a National Deafblind Data and Identification Framework</w:t>
      </w:r>
    </w:p>
    <w:p w14:paraId="6D9C9A3E" w14:textId="48C1CFEC" w:rsidR="0049205A" w:rsidRPr="00915470" w:rsidRDefault="0049205A"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integrate deafblindness identification into the National Disability Data Asset</w:t>
      </w:r>
    </w:p>
    <w:p w14:paraId="2BD63A08" w14:textId="07DDAE40" w:rsidR="0049205A" w:rsidRPr="00915470" w:rsidRDefault="0049205A"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align definitions with international disability classification frameworks</w:t>
      </w:r>
    </w:p>
    <w:p w14:paraId="547D01F9" w14:textId="5E7288D1" w:rsidR="0049205A" w:rsidRPr="00915470" w:rsidRDefault="0049205A"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improve data consistency across disability, health, education, and aged-care systems</w:t>
      </w:r>
    </w:p>
    <w:p w14:paraId="5AC188B8" w14:textId="0A0ED452" w:rsidR="0049205A" w:rsidRPr="0049205A" w:rsidRDefault="0049205A" w:rsidP="00191A34">
      <w:pPr>
        <w:pStyle w:val="Heading4"/>
        <w:numPr>
          <w:ilvl w:val="0"/>
          <w:numId w:val="27"/>
        </w:numPr>
      </w:pPr>
      <w:r>
        <w:t>Provide Sustainable Funding for Deafblind-Led Peer and Information Hubs</w:t>
      </w:r>
    </w:p>
    <w:p w14:paraId="4DA6DDD3" w14:textId="2A6D8ED6" w:rsidR="0049205A" w:rsidRPr="00191A34" w:rsidRDefault="0049205A"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recognise deafblind-led organisations as essential community infrastructure</w:t>
      </w:r>
    </w:p>
    <w:p w14:paraId="1598BF79" w14:textId="59C2BE12" w:rsidR="0049205A" w:rsidRPr="00191A34" w:rsidRDefault="00191A34"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support peer support, information access, and system navigation services</w:t>
      </w:r>
    </w:p>
    <w:p w14:paraId="1FF633F0" w14:textId="468AB853" w:rsidR="0049205A" w:rsidRPr="00191A34" w:rsidRDefault="0049205A" w:rsidP="00CD5C14">
      <w:pPr>
        <w:pStyle w:val="NormalWeb"/>
        <w:numPr>
          <w:ilvl w:val="0"/>
          <w:numId w:val="17"/>
        </w:numPr>
        <w:spacing w:line="360" w:lineRule="auto"/>
        <w:rPr>
          <w:rFonts w:asciiTheme="minorHAnsi" w:hAnsiTheme="minorHAnsi" w:cstheme="minorHAnsi"/>
          <w:color w:val="000000"/>
        </w:rPr>
      </w:pPr>
      <w:r>
        <w:rPr>
          <w:rFonts w:asciiTheme="minorHAnsi" w:hAnsiTheme="minorHAnsi" w:cstheme="minorHAnsi"/>
          <w:color w:val="000000"/>
        </w:rPr>
        <w:t>strengthen government engagement with lived-experience organisations</w:t>
      </w:r>
    </w:p>
    <w:p w14:paraId="433353C1" w14:textId="44781B89" w:rsidR="0049205A" w:rsidRPr="0049205A" w:rsidRDefault="0049205A" w:rsidP="00191A34">
      <w:pPr>
        <w:pStyle w:val="Heading4"/>
        <w:numPr>
          <w:ilvl w:val="0"/>
          <w:numId w:val="27"/>
        </w:numPr>
      </w:pPr>
      <w:r>
        <w:lastRenderedPageBreak/>
        <w:t>Invest in Workforce Awareness and Capability</w:t>
      </w:r>
    </w:p>
    <w:p w14:paraId="2320FD97" w14:textId="2BA197CC" w:rsidR="0049205A" w:rsidRPr="00191A34" w:rsidRDefault="0049205A" w:rsidP="00191A34">
      <w:pPr>
        <w:pStyle w:val="NormalWeb"/>
        <w:numPr>
          <w:ilvl w:val="0"/>
          <w:numId w:val="28"/>
        </w:numPr>
        <w:spacing w:line="360" w:lineRule="auto"/>
        <w:rPr>
          <w:rFonts w:asciiTheme="minorHAnsi" w:hAnsiTheme="minorHAnsi" w:cstheme="minorHAnsi"/>
          <w:color w:val="000000"/>
        </w:rPr>
      </w:pPr>
      <w:r>
        <w:rPr>
          <w:rFonts w:asciiTheme="minorHAnsi" w:hAnsiTheme="minorHAnsi" w:cstheme="minorHAnsi"/>
          <w:color w:val="000000"/>
        </w:rPr>
        <w:t>develop national training resources for health, disability, aged-care, and education workforces</w:t>
      </w:r>
    </w:p>
    <w:p w14:paraId="43AD419A" w14:textId="71492BF9" w:rsidR="0049205A" w:rsidRPr="00191A34" w:rsidRDefault="0049205A" w:rsidP="00191A34">
      <w:pPr>
        <w:pStyle w:val="NormalWeb"/>
        <w:numPr>
          <w:ilvl w:val="0"/>
          <w:numId w:val="28"/>
        </w:numPr>
        <w:spacing w:line="360" w:lineRule="auto"/>
        <w:rPr>
          <w:rFonts w:asciiTheme="minorHAnsi" w:hAnsiTheme="minorHAnsi" w:cstheme="minorHAnsi"/>
          <w:color w:val="000000"/>
        </w:rPr>
      </w:pPr>
      <w:r>
        <w:rPr>
          <w:rFonts w:asciiTheme="minorHAnsi" w:hAnsiTheme="minorHAnsi" w:cstheme="minorHAnsi"/>
          <w:color w:val="000000"/>
        </w:rPr>
        <w:t>embed deafblind awareness within existing professional development frameworks</w:t>
      </w:r>
    </w:p>
    <w:p w14:paraId="0897C587" w14:textId="56486D75" w:rsidR="00843D41" w:rsidRPr="00AB42FE" w:rsidRDefault="0049205A" w:rsidP="00843D41">
      <w:pPr>
        <w:pStyle w:val="NormalWeb"/>
        <w:numPr>
          <w:ilvl w:val="0"/>
          <w:numId w:val="28"/>
        </w:numPr>
        <w:spacing w:line="360" w:lineRule="auto"/>
        <w:rPr>
          <w:rFonts w:asciiTheme="minorHAnsi" w:hAnsiTheme="minorHAnsi" w:cstheme="minorHAnsi"/>
          <w:color w:val="000000"/>
          <w:sz w:val="27"/>
          <w:szCs w:val="27"/>
        </w:rPr>
      </w:pPr>
      <w:r>
        <w:rPr>
          <w:rFonts w:asciiTheme="minorHAnsi" w:hAnsiTheme="minorHAnsi" w:cstheme="minorHAnsi"/>
          <w:color w:val="000000"/>
        </w:rPr>
        <w:t>partner with deafblind-led organisations to deliver training</w:t>
      </w:r>
    </w:p>
    <w:p w14:paraId="00D27E6D" w14:textId="649332A8" w:rsidR="00491818" w:rsidRPr="00491818" w:rsidRDefault="00491818" w:rsidP="00CE6FA2">
      <w:pPr>
        <w:pStyle w:val="Heading3"/>
        <w:spacing w:before="240"/>
      </w:pPr>
      <w:bookmarkStart w:id="5" w:name="_Toc233272887"/>
      <w:r>
        <w:t>Indicative Cost</w:t>
      </w:r>
      <w:bookmarkEnd w:id="5"/>
    </w:p>
    <w:p w14:paraId="544DC5C7" w14:textId="456547CA" w:rsidR="00491818" w:rsidRDefault="00491818" w:rsidP="00EA29B1">
      <w:pPr>
        <w:rPr>
          <w:b/>
          <w:bCs/>
        </w:rPr>
      </w:pPr>
      <w:r>
        <w:t>These initiatives represent</w:t>
      </w:r>
      <w:r>
        <w:rPr>
          <w:b/>
          <w:bCs/>
        </w:rPr>
        <w:t xml:space="preserve"> targeted investment within lower Commonwealth policy cost bands.</w:t>
      </w:r>
    </w:p>
    <w:tbl>
      <w:tblPr>
        <w:tblStyle w:val="DBIAtable"/>
        <w:tblW w:w="0" w:type="auto"/>
        <w:tblLook w:val="06A0" w:firstRow="1" w:lastRow="0" w:firstColumn="1" w:lastColumn="0" w:noHBand="1" w:noVBand="1"/>
      </w:tblPr>
      <w:tblGrid>
        <w:gridCol w:w="5240"/>
        <w:gridCol w:w="3544"/>
      </w:tblGrid>
      <w:tr w:rsidR="00491818" w:rsidRPr="00C969D5" w14:paraId="14273345" w14:textId="77777777" w:rsidTr="00DB3579">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5240" w:type="dxa"/>
          </w:tcPr>
          <w:p w14:paraId="6278D7E6" w14:textId="5A2D7D4C" w:rsidR="00491818" w:rsidRPr="00C969D5" w:rsidRDefault="00491818" w:rsidP="004E66D4">
            <w:pPr>
              <w:spacing w:after="0" w:line="240" w:lineRule="auto"/>
            </w:pPr>
            <w:r>
              <w:t>Initiative</w:t>
            </w:r>
          </w:p>
        </w:tc>
        <w:tc>
          <w:tcPr>
            <w:tcW w:w="3544" w:type="dxa"/>
          </w:tcPr>
          <w:p w14:paraId="50FF87BE" w14:textId="3D0240B0" w:rsidR="00491818" w:rsidRPr="00C969D5" w:rsidRDefault="00491818" w:rsidP="004E66D4">
            <w:pPr>
              <w:spacing w:after="0" w:line="240" w:lineRule="auto"/>
              <w:cnfStyle w:val="100000000000" w:firstRow="1" w:lastRow="0" w:firstColumn="0" w:lastColumn="0" w:oddVBand="0" w:evenVBand="0" w:oddHBand="0" w:evenHBand="0" w:firstRowFirstColumn="0" w:firstRowLastColumn="0" w:lastRowFirstColumn="0" w:lastRowLastColumn="0"/>
            </w:pPr>
            <w:r>
              <w:t>Indicative Cost</w:t>
            </w:r>
          </w:p>
        </w:tc>
      </w:tr>
      <w:tr w:rsidR="00491818" w:rsidRPr="00C969D5" w14:paraId="6C7E46E4" w14:textId="77777777" w:rsidTr="00DB3579">
        <w:trPr>
          <w:trHeight w:val="397"/>
        </w:trPr>
        <w:tc>
          <w:tcPr>
            <w:cnfStyle w:val="001000000000" w:firstRow="0" w:lastRow="0" w:firstColumn="1" w:lastColumn="0" w:oddVBand="0" w:evenVBand="0" w:oddHBand="0" w:evenHBand="0" w:firstRowFirstColumn="0" w:firstRowLastColumn="0" w:lastRowFirstColumn="0" w:lastRowLastColumn="0"/>
            <w:tcW w:w="5240" w:type="dxa"/>
          </w:tcPr>
          <w:p w14:paraId="2BFC1DDF" w14:textId="77777777" w:rsidR="00491818" w:rsidRPr="003010AE" w:rsidRDefault="00491818" w:rsidP="009125DF">
            <w:pPr>
              <w:spacing w:before="240" w:after="0"/>
              <w:rPr>
                <w:bCs/>
              </w:rPr>
            </w:pPr>
            <w:r w:rsidRPr="00457284">
              <w:t>National identification and data framework development project</w:t>
            </w:r>
          </w:p>
          <w:p w14:paraId="3EE69BBC" w14:textId="74659D45" w:rsidR="00E61909" w:rsidRPr="00491818" w:rsidRDefault="00E61909" w:rsidP="009125DF">
            <w:pPr>
              <w:spacing w:before="240" w:after="0"/>
              <w:rPr>
                <w:b w:val="0"/>
              </w:rPr>
            </w:pPr>
            <w:r>
              <w:rPr>
                <w:b w:val="0"/>
              </w:rPr>
              <w:t>Initial 6</w:t>
            </w:r>
            <w:r w:rsidR="00C00CE1">
              <w:rPr>
                <w:b w:val="0"/>
              </w:rPr>
              <w:t>-</w:t>
            </w:r>
            <w:r>
              <w:rPr>
                <w:b w:val="0"/>
              </w:rPr>
              <w:t>12 month scoping and development phase, including literature reviews, community consultations, and framework drafting, but excludes full-scale national data system implementation.</w:t>
            </w:r>
          </w:p>
        </w:tc>
        <w:tc>
          <w:tcPr>
            <w:tcW w:w="3544" w:type="dxa"/>
          </w:tcPr>
          <w:p w14:paraId="2FF14195" w14:textId="21D203BD" w:rsidR="00491818" w:rsidRPr="00491818" w:rsidRDefault="00E61909" w:rsidP="009125DF">
            <w:pPr>
              <w:spacing w:before="240" w:after="0"/>
              <w:cnfStyle w:val="000000000000" w:firstRow="0" w:lastRow="0" w:firstColumn="0" w:lastColumn="0" w:oddVBand="0" w:evenVBand="0" w:oddHBand="0" w:evenHBand="0" w:firstRowFirstColumn="0" w:firstRowLastColumn="0" w:lastRowFirstColumn="0" w:lastRowLastColumn="0"/>
            </w:pPr>
            <w:r>
              <w:t>$150,000 (one-off)</w:t>
            </w:r>
          </w:p>
        </w:tc>
      </w:tr>
      <w:tr w:rsidR="00491818" w:rsidRPr="00C969D5" w14:paraId="54F824DE" w14:textId="77777777" w:rsidTr="00DB3579">
        <w:trPr>
          <w:trHeight w:val="397"/>
        </w:trPr>
        <w:tc>
          <w:tcPr>
            <w:cnfStyle w:val="001000000000" w:firstRow="0" w:lastRow="0" w:firstColumn="1" w:lastColumn="0" w:oddVBand="0" w:evenVBand="0" w:oddHBand="0" w:evenHBand="0" w:firstRowFirstColumn="0" w:firstRowLastColumn="0" w:lastRowFirstColumn="0" w:lastRowLastColumn="0"/>
            <w:tcW w:w="5240" w:type="dxa"/>
          </w:tcPr>
          <w:p w14:paraId="38CE3221" w14:textId="25AFA0A2" w:rsidR="00491818" w:rsidRPr="005D4B73" w:rsidRDefault="00491818" w:rsidP="00DB3579">
            <w:pPr>
              <w:spacing w:before="240" w:after="0"/>
            </w:pPr>
            <w:r w:rsidRPr="005D4B73">
              <w:t>Workforce training</w:t>
            </w:r>
          </w:p>
          <w:p w14:paraId="3B90C9C3" w14:textId="794F437E" w:rsidR="00E61909" w:rsidRPr="00457284" w:rsidRDefault="003A530C" w:rsidP="00DB3579">
            <w:pPr>
              <w:spacing w:before="240" w:after="0"/>
            </w:pPr>
            <w:r w:rsidRPr="00DB3579">
              <w:rPr>
                <w:b w:val="0"/>
                <w:bCs/>
              </w:rPr>
              <w:t>I</w:t>
            </w:r>
            <w:r w:rsidR="00E61909" w:rsidRPr="00DB3579">
              <w:rPr>
                <w:b w:val="0"/>
                <w:bCs/>
              </w:rPr>
              <w:t>nitial course development and accreditation setup, instructional design, a Learning Management System (LMS) setup, and ongoing delivery costs.</w:t>
            </w:r>
          </w:p>
        </w:tc>
        <w:tc>
          <w:tcPr>
            <w:tcW w:w="3544" w:type="dxa"/>
          </w:tcPr>
          <w:p w14:paraId="3C990240" w14:textId="68E59E01" w:rsidR="00491818" w:rsidRPr="00491818" w:rsidRDefault="00491818" w:rsidP="009125DF">
            <w:pPr>
              <w:spacing w:before="240" w:after="0"/>
              <w:cnfStyle w:val="000000000000" w:firstRow="0" w:lastRow="0" w:firstColumn="0" w:lastColumn="0" w:oddVBand="0" w:evenVBand="0" w:oddHBand="0" w:evenHBand="0" w:firstRowFirstColumn="0" w:firstRowLastColumn="0" w:lastRowFirstColumn="0" w:lastRowLastColumn="0"/>
            </w:pPr>
            <w:r>
              <w:t>$190,000 over 5 years</w:t>
            </w:r>
          </w:p>
        </w:tc>
      </w:tr>
      <w:tr w:rsidR="00491818" w:rsidRPr="00C969D5" w14:paraId="34F96D08" w14:textId="77777777" w:rsidTr="00DB3579">
        <w:trPr>
          <w:trHeight w:val="397"/>
        </w:trPr>
        <w:tc>
          <w:tcPr>
            <w:cnfStyle w:val="001000000000" w:firstRow="0" w:lastRow="0" w:firstColumn="1" w:lastColumn="0" w:oddVBand="0" w:evenVBand="0" w:oddHBand="0" w:evenHBand="0" w:firstRowFirstColumn="0" w:firstRowLastColumn="0" w:lastRowFirstColumn="0" w:lastRowLastColumn="0"/>
            <w:tcW w:w="5240" w:type="dxa"/>
          </w:tcPr>
          <w:p w14:paraId="30DFCDEA" w14:textId="77777777" w:rsidR="00491818" w:rsidRPr="003010AE" w:rsidRDefault="00191A34" w:rsidP="009125DF">
            <w:pPr>
              <w:spacing w:before="240" w:after="0"/>
              <w:rPr>
                <w:bCs/>
              </w:rPr>
            </w:pPr>
            <w:r w:rsidRPr="00457284">
              <w:t>Community infrastructure</w:t>
            </w:r>
          </w:p>
          <w:p w14:paraId="6AD2F99F" w14:textId="5A267AC7" w:rsidR="004578D3" w:rsidRPr="00491818" w:rsidRDefault="004578D3" w:rsidP="009125DF">
            <w:pPr>
              <w:spacing w:before="240" w:after="0"/>
              <w:rPr>
                <w:b w:val="0"/>
              </w:rPr>
            </w:pPr>
            <w:r>
              <w:rPr>
                <w:b w:val="0"/>
              </w:rPr>
              <w:t>Staffing and organisational costs to sustain existing deafblind led organisations</w:t>
            </w:r>
          </w:p>
        </w:tc>
        <w:tc>
          <w:tcPr>
            <w:tcW w:w="3544" w:type="dxa"/>
          </w:tcPr>
          <w:p w14:paraId="3ABF4572" w14:textId="29AEF0AE" w:rsidR="00491818" w:rsidRPr="00491818" w:rsidRDefault="00491818" w:rsidP="009125DF">
            <w:pPr>
              <w:spacing w:before="240" w:after="0"/>
              <w:cnfStyle w:val="000000000000" w:firstRow="0" w:lastRow="0" w:firstColumn="0" w:lastColumn="0" w:oddVBand="0" w:evenVBand="0" w:oddHBand="0" w:evenHBand="0" w:firstRowFirstColumn="0" w:firstRowLastColumn="0" w:lastRowFirstColumn="0" w:lastRowLastColumn="0"/>
            </w:pPr>
            <w:r>
              <w:t>$1.8 million per year nationally</w:t>
            </w:r>
          </w:p>
        </w:tc>
      </w:tr>
    </w:tbl>
    <w:p w14:paraId="733D8181" w14:textId="77777777" w:rsidR="00CB33DA" w:rsidRDefault="00CB33DA" w:rsidP="00DB3579">
      <w:pPr>
        <w:spacing w:after="0"/>
      </w:pPr>
    </w:p>
    <w:p w14:paraId="640E1949" w14:textId="1EDC83D4" w:rsidR="00843D41" w:rsidRPr="00491818" w:rsidRDefault="00491818" w:rsidP="00DB3579">
      <w:pPr>
        <w:spacing w:after="0"/>
      </w:pPr>
      <w:r>
        <w:t xml:space="preserve">Total investment is likely fall within the </w:t>
      </w:r>
      <w:r>
        <w:rPr>
          <w:b/>
          <w:bCs/>
        </w:rPr>
        <w:t>$2 - 3 million forward estimates band</w:t>
      </w:r>
      <w:r>
        <w:t>.</w:t>
      </w:r>
    </w:p>
    <w:p w14:paraId="2F118B56" w14:textId="28096398" w:rsidR="00491818" w:rsidRPr="00191A34" w:rsidRDefault="00491818" w:rsidP="00491818">
      <w:pPr>
        <w:pStyle w:val="Heading3"/>
      </w:pPr>
      <w:bookmarkStart w:id="6" w:name="_Toc233272888"/>
      <w:r>
        <w:lastRenderedPageBreak/>
        <w:t>Expected Outcomes</w:t>
      </w:r>
      <w:bookmarkEnd w:id="6"/>
    </w:p>
    <w:p w14:paraId="4F1B4034" w14:textId="0D11585D" w:rsidR="00491818" w:rsidRPr="00491818" w:rsidRDefault="00491818" w:rsidP="00CE6FA2">
      <w:pPr>
        <w:spacing w:after="0"/>
      </w:pPr>
      <w:r>
        <w:t>Targeted action would:</w:t>
      </w:r>
    </w:p>
    <w:p w14:paraId="3C60A6E9" w14:textId="46304AB2" w:rsidR="00843D41" w:rsidRPr="009D73A9" w:rsidRDefault="00491818" w:rsidP="00DB3579">
      <w:pPr>
        <w:pStyle w:val="ListParagraph"/>
        <w:numPr>
          <w:ilvl w:val="0"/>
          <w:numId w:val="17"/>
        </w:numPr>
        <w:spacing w:after="0"/>
      </w:pPr>
      <w:r>
        <w:t>improve service coordination across disability, health, aged care, and education</w:t>
      </w:r>
    </w:p>
    <w:p w14:paraId="7B5DFA58" w14:textId="17802CE3" w:rsidR="00491818" w:rsidRPr="00191A34" w:rsidRDefault="00491818" w:rsidP="00CE6FA2">
      <w:pPr>
        <w:pStyle w:val="ListParagraph"/>
        <w:numPr>
          <w:ilvl w:val="0"/>
          <w:numId w:val="17"/>
        </w:numPr>
        <w:spacing w:after="0"/>
      </w:pPr>
      <w:r>
        <w:t>reduce crisis service demand and long-term care costs</w:t>
      </w:r>
    </w:p>
    <w:p w14:paraId="5F5A0B29" w14:textId="51041F1C" w:rsidR="00491818" w:rsidRPr="00191A34" w:rsidRDefault="00491818" w:rsidP="00CE6FA2">
      <w:pPr>
        <w:pStyle w:val="ListParagraph"/>
        <w:numPr>
          <w:ilvl w:val="0"/>
          <w:numId w:val="17"/>
        </w:numPr>
        <w:spacing w:after="0"/>
      </w:pPr>
      <w:r>
        <w:t>strengthen safeguarding and risk identification</w:t>
      </w:r>
    </w:p>
    <w:p w14:paraId="1C6B1437" w14:textId="3A139C35" w:rsidR="00491818" w:rsidRPr="00191A34" w:rsidRDefault="00491818" w:rsidP="00CE6FA2">
      <w:pPr>
        <w:pStyle w:val="ListParagraph"/>
        <w:numPr>
          <w:ilvl w:val="0"/>
          <w:numId w:val="17"/>
        </w:numPr>
        <w:spacing w:after="0"/>
      </w:pPr>
      <w:r>
        <w:t>improve workforce capability across sectors</w:t>
      </w:r>
    </w:p>
    <w:p w14:paraId="52F3402C" w14:textId="57B81DCC" w:rsidR="00491818" w:rsidRPr="00191A34" w:rsidRDefault="00491818" w:rsidP="00CE6FA2">
      <w:pPr>
        <w:pStyle w:val="ListParagraph"/>
        <w:numPr>
          <w:ilvl w:val="0"/>
          <w:numId w:val="17"/>
        </w:numPr>
      </w:pPr>
      <w:r>
        <w:t>increase independence, participation, and employment opportunities</w:t>
      </w:r>
    </w:p>
    <w:p w14:paraId="58F1A8AE" w14:textId="77777777" w:rsidR="00491818" w:rsidRDefault="00491818" w:rsidP="00CE6FA2">
      <w:pPr>
        <w:spacing w:after="0"/>
      </w:pPr>
      <w:r>
        <w:t xml:space="preserve">Importantly, these measures </w:t>
      </w:r>
      <w:r>
        <w:rPr>
          <w:b/>
          <w:bCs/>
        </w:rPr>
        <w:t>increase the effectiveness of existing government investments</w:t>
      </w:r>
      <w:r>
        <w:t xml:space="preserve"> rather than requiring large new programs.</w:t>
      </w:r>
    </w:p>
    <w:p w14:paraId="601EB60D" w14:textId="73E3D72A" w:rsidR="00E95493" w:rsidRDefault="00E95493" w:rsidP="00CE6FA2">
      <w:pPr>
        <w:spacing w:after="0"/>
      </w:pPr>
    </w:p>
    <w:p w14:paraId="4E991BCB" w14:textId="77777777" w:rsidR="00CE6FA2" w:rsidRPr="00491818" w:rsidRDefault="00CE6FA2" w:rsidP="00CE6FA2">
      <w:pPr>
        <w:spacing w:after="0"/>
      </w:pPr>
    </w:p>
    <w:p w14:paraId="7F6018A0" w14:textId="0134EBE0" w:rsidR="00491818" w:rsidRPr="00E95493" w:rsidRDefault="00491818" w:rsidP="00E95493">
      <w:pPr>
        <w:pStyle w:val="Heading3"/>
      </w:pPr>
      <w:bookmarkStart w:id="7" w:name="_Toc233272889"/>
      <w:r>
        <w:t>Decision</w:t>
      </w:r>
      <w:bookmarkEnd w:id="7"/>
    </w:p>
    <w:p w14:paraId="29A7DE67" w14:textId="2AF03772" w:rsidR="00191A34" w:rsidRDefault="00191A34" w:rsidP="00491818">
      <w:r>
        <w:t>That government consider targeted policy measures to improve national identification, community infrastructure, and workforce capability for Australians with deafblindness.</w:t>
      </w:r>
    </w:p>
    <w:p w14:paraId="774A4E02" w14:textId="77777777" w:rsidR="00E95493" w:rsidRDefault="00E95493">
      <w:pPr>
        <w:spacing w:after="0" w:line="240" w:lineRule="auto"/>
        <w:rPr>
          <w:rFonts w:cstheme="majorHAnsi"/>
          <w:b/>
          <w:bCs/>
          <w:color w:val="000050" w:themeColor="accent1"/>
          <w:sz w:val="40"/>
          <w:szCs w:val="36"/>
          <w:lang w:eastAsia="en-AU"/>
        </w:rPr>
      </w:pPr>
      <w:r>
        <w:rPr>
          <w:lang w:eastAsia="en-AU"/>
        </w:rPr>
        <w:br w:type="page"/>
      </w:r>
    </w:p>
    <w:p w14:paraId="3EEBF928" w14:textId="6DE4A2E6" w:rsidR="002D7C67" w:rsidRPr="00844BFE" w:rsidRDefault="002D7C67" w:rsidP="00844BFE">
      <w:pPr>
        <w:pStyle w:val="Heading2"/>
      </w:pPr>
      <w:bookmarkStart w:id="8" w:name="_Toc233272890"/>
      <w:r>
        <w:rPr>
          <w:lang w:eastAsia="en-AU"/>
        </w:rPr>
        <w:lastRenderedPageBreak/>
        <w:t>Executive Summary</w:t>
      </w:r>
      <w:bookmarkEnd w:id="8"/>
    </w:p>
    <w:p w14:paraId="7DC25A8E"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Australia’s disability, health, and aged-care reforms aim to improve inclusion, safety, and service effectiveness. However, Australians with deafblindness remain at high risk of being excluded from these reforms due to systemic gaps in data, service infrastructure, and workforce capability.</w:t>
      </w:r>
    </w:p>
    <w:p w14:paraId="2418F06D" w14:textId="4E1CF7D9"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 xml:space="preserve">Deafblindness </w:t>
      </w:r>
      <w:r w:rsidR="009358EE">
        <w:rPr>
          <w:rFonts w:ascii="Arial" w:eastAsia="Times New Roman" w:hAnsi="Arial" w:cs="Arial"/>
          <w:lang w:eastAsia="en-AU"/>
        </w:rPr>
        <w:t>-</w:t>
      </w:r>
      <w:r>
        <w:rPr>
          <w:rFonts w:ascii="Arial" w:eastAsia="Times New Roman" w:hAnsi="Arial" w:cs="Arial"/>
          <w:lang w:eastAsia="en-AU"/>
        </w:rPr>
        <w:t xml:space="preserve"> the combined loss of hearing and vision </w:t>
      </w:r>
      <w:r w:rsidR="009358EE">
        <w:rPr>
          <w:rFonts w:ascii="Arial" w:eastAsia="Times New Roman" w:hAnsi="Arial" w:cs="Arial"/>
          <w:lang w:eastAsia="en-AU"/>
        </w:rPr>
        <w:t>-</w:t>
      </w:r>
      <w:r>
        <w:rPr>
          <w:rFonts w:ascii="Arial" w:eastAsia="Times New Roman" w:hAnsi="Arial" w:cs="Arial"/>
          <w:lang w:eastAsia="en-AU"/>
        </w:rPr>
        <w:t xml:space="preserve"> is a distinct disability that significantly affects communication, mobility, safety, and independence. An estimated 560,000 Australians live with deafblindness, though this is likely an underestimate.</w:t>
      </w:r>
    </w:p>
    <w:p w14:paraId="6BCC3C5E" w14:textId="77777777" w:rsidR="002D7C67" w:rsidRPr="0041258B" w:rsidRDefault="002D7C67" w:rsidP="00DB3579">
      <w:pPr>
        <w:spacing w:before="100" w:beforeAutospacing="1" w:after="0"/>
        <w:rPr>
          <w:rFonts w:ascii="Arial" w:eastAsia="Times New Roman" w:hAnsi="Arial" w:cs="Arial"/>
          <w:lang w:eastAsia="en-AU"/>
        </w:rPr>
      </w:pPr>
      <w:r>
        <w:rPr>
          <w:rFonts w:ascii="Arial" w:eastAsia="Times New Roman" w:hAnsi="Arial" w:cs="Arial"/>
          <w:lang w:eastAsia="en-AU"/>
        </w:rPr>
        <w:t>Without targeted action, current reforms risk:</w:t>
      </w:r>
    </w:p>
    <w:p w14:paraId="1534D9E3" w14:textId="77777777" w:rsidR="002D7C67" w:rsidRPr="0041258B" w:rsidRDefault="002D7C67" w:rsidP="00DB3579">
      <w:pPr>
        <w:numPr>
          <w:ilvl w:val="0"/>
          <w:numId w:val="29"/>
        </w:numPr>
        <w:spacing w:after="100" w:afterAutospacing="1"/>
        <w:rPr>
          <w:rFonts w:ascii="Arial" w:eastAsia="Times New Roman" w:hAnsi="Arial" w:cs="Arial"/>
          <w:lang w:eastAsia="en-AU"/>
        </w:rPr>
      </w:pPr>
      <w:r>
        <w:rPr>
          <w:rFonts w:ascii="Arial" w:eastAsia="Times New Roman" w:hAnsi="Arial" w:cs="Arial"/>
          <w:lang w:eastAsia="en-AU"/>
        </w:rPr>
        <w:t>inefficient service delivery</w:t>
      </w:r>
    </w:p>
    <w:p w14:paraId="27979722" w14:textId="77777777" w:rsidR="002D7C67" w:rsidRPr="0041258B" w:rsidRDefault="002D7C67" w:rsidP="00844BFE">
      <w:pPr>
        <w:numPr>
          <w:ilvl w:val="0"/>
          <w:numId w:val="2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avoidable long-term costs</w:t>
      </w:r>
    </w:p>
    <w:p w14:paraId="7D8DB9A2" w14:textId="77777777" w:rsidR="002D7C67" w:rsidRPr="0041258B" w:rsidRDefault="002D7C67" w:rsidP="00844BFE">
      <w:pPr>
        <w:numPr>
          <w:ilvl w:val="0"/>
          <w:numId w:val="2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reduced policy effectiveness</w:t>
      </w:r>
    </w:p>
    <w:p w14:paraId="4117643A" w14:textId="77777777" w:rsidR="002D7C67" w:rsidRPr="0041258B" w:rsidRDefault="002D7C67" w:rsidP="00844BFE">
      <w:pPr>
        <w:numPr>
          <w:ilvl w:val="0"/>
          <w:numId w:val="2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vulnerability and isolation</w:t>
      </w:r>
    </w:p>
    <w:p w14:paraId="396CDFF6" w14:textId="77777777" w:rsidR="002D7C67" w:rsidRPr="0041258B" w:rsidRDefault="002D7C67" w:rsidP="00844BFE">
      <w:pPr>
        <w:numPr>
          <w:ilvl w:val="0"/>
          <w:numId w:val="2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inequitable outcomes for a large population group</w:t>
      </w:r>
    </w:p>
    <w:p w14:paraId="20D8A082"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This white paper outlines three practical, cost-effective priorities that will improve policy implementation and deliver measurable public value:</w:t>
      </w:r>
    </w:p>
    <w:p w14:paraId="31926149" w14:textId="77777777" w:rsidR="002D7C67" w:rsidRPr="00DB3579" w:rsidRDefault="002D7C67" w:rsidP="00DB3579">
      <w:pPr>
        <w:rPr>
          <w:b/>
          <w:bCs/>
          <w:sz w:val="27"/>
          <w:szCs w:val="27"/>
        </w:rPr>
      </w:pPr>
      <w:r w:rsidRPr="00DB3579">
        <w:rPr>
          <w:b/>
          <w:bCs/>
          <w:sz w:val="27"/>
          <w:szCs w:val="27"/>
        </w:rPr>
        <w:t>Priority Actions</w:t>
      </w:r>
    </w:p>
    <w:p w14:paraId="57AB00FD" w14:textId="77777777" w:rsidR="002D7C67" w:rsidRPr="0041258B" w:rsidRDefault="002D7C67" w:rsidP="00844BFE">
      <w:pPr>
        <w:numPr>
          <w:ilvl w:val="0"/>
          <w:numId w:val="30"/>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Establish a National Data and Identification Framework</w:t>
      </w:r>
      <w:r>
        <w:rPr>
          <w:rFonts w:ascii="Arial" w:eastAsia="Times New Roman" w:hAnsi="Arial" w:cs="Arial"/>
          <w:lang w:eastAsia="en-AU"/>
        </w:rPr>
        <w:t xml:space="preserve"> to support evidence-based policy and service planning.</w:t>
      </w:r>
    </w:p>
    <w:p w14:paraId="5651D116" w14:textId="77777777" w:rsidR="002D7C67" w:rsidRPr="0041258B" w:rsidRDefault="002D7C67" w:rsidP="00844BFE">
      <w:pPr>
        <w:numPr>
          <w:ilvl w:val="0"/>
          <w:numId w:val="30"/>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Provide sustainable funding for deafblind-led peer and information hubs</w:t>
      </w:r>
      <w:r>
        <w:rPr>
          <w:rFonts w:ascii="Arial" w:eastAsia="Times New Roman" w:hAnsi="Arial" w:cs="Arial"/>
          <w:lang w:eastAsia="en-AU"/>
        </w:rPr>
        <w:t xml:space="preserve"> to strengthen community infrastructure and reduce service demand.</w:t>
      </w:r>
    </w:p>
    <w:p w14:paraId="1BCF1768" w14:textId="77777777" w:rsidR="002D7C67" w:rsidRPr="0041258B" w:rsidRDefault="002D7C67" w:rsidP="00844BFE">
      <w:pPr>
        <w:numPr>
          <w:ilvl w:val="0"/>
          <w:numId w:val="30"/>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Build workforce awareness and capability</w:t>
      </w:r>
      <w:r>
        <w:rPr>
          <w:rFonts w:ascii="Arial" w:eastAsia="Times New Roman" w:hAnsi="Arial" w:cs="Arial"/>
          <w:lang w:eastAsia="en-AU"/>
        </w:rPr>
        <w:t xml:space="preserve"> across disability, health, aged-care, and education systems.</w:t>
      </w:r>
    </w:p>
    <w:p w14:paraId="4D6774E7" w14:textId="3B26F472" w:rsidR="00FB60DB" w:rsidRDefault="002D7C67" w:rsidP="00AB42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These priorities represent modest investment with significant returns through improved service efficiency, reduced long-term expenditure, and stronger reform outcomes.</w:t>
      </w:r>
    </w:p>
    <w:p w14:paraId="39D1E990" w14:textId="77777777" w:rsidR="00AB42FE" w:rsidRPr="0041258B" w:rsidRDefault="00AB42FE" w:rsidP="00AB42FE">
      <w:pPr>
        <w:spacing w:before="100" w:beforeAutospacing="1" w:after="100" w:afterAutospacing="1"/>
        <w:rPr>
          <w:rFonts w:ascii="Arial" w:eastAsia="Times New Roman" w:hAnsi="Arial" w:cs="Arial"/>
          <w:lang w:eastAsia="en-AU"/>
        </w:rPr>
      </w:pPr>
    </w:p>
    <w:p w14:paraId="72AD1E47" w14:textId="77777777" w:rsidR="002D7C67" w:rsidRPr="0041258B" w:rsidRDefault="002D7C67" w:rsidP="00844BFE">
      <w:pPr>
        <w:pStyle w:val="Heading3"/>
        <w:spacing w:before="240" w:line="276" w:lineRule="auto"/>
        <w:rPr>
          <w:lang w:eastAsia="en-AU"/>
        </w:rPr>
      </w:pPr>
      <w:bookmarkStart w:id="9" w:name="_Toc233272891"/>
      <w:r>
        <w:rPr>
          <w:lang w:eastAsia="en-AU"/>
        </w:rPr>
        <w:lastRenderedPageBreak/>
        <w:t>Key Messages for Decision-Makers</w:t>
      </w:r>
      <w:bookmarkEnd w:id="9"/>
    </w:p>
    <w:p w14:paraId="766F72D7" w14:textId="77777777" w:rsidR="002D7C67" w:rsidRPr="0041258B" w:rsidRDefault="002D7C67" w:rsidP="00844BFE">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Deafblindness is a distinct disability requiring specialised policy responses.</w:t>
      </w:r>
    </w:p>
    <w:p w14:paraId="2C95956C" w14:textId="77777777" w:rsidR="002D7C67" w:rsidRPr="0041258B" w:rsidRDefault="002D7C67" w:rsidP="00844BFE">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Current service systems do not reliably identify or support deafblind Australians.</w:t>
      </w:r>
    </w:p>
    <w:p w14:paraId="019218B2" w14:textId="77777777" w:rsidR="002D7C67" w:rsidRPr="0041258B" w:rsidRDefault="002D7C67" w:rsidP="00844BFE">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Strategic investment will reduce long-term costs and increase reform effectiveness.</w:t>
      </w:r>
    </w:p>
    <w:p w14:paraId="5CCA0A94" w14:textId="64758EAE" w:rsidR="002D7C67" w:rsidRPr="0041258B" w:rsidRDefault="002D7C67" w:rsidP="00844BFE">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 xml:space="preserve">Community-led organisations </w:t>
      </w:r>
      <w:r w:rsidR="004C5717">
        <w:rPr>
          <w:rFonts w:ascii="Arial" w:eastAsia="Times New Roman" w:hAnsi="Arial" w:cs="Arial"/>
          <w:lang w:eastAsia="en-AU"/>
        </w:rPr>
        <w:t xml:space="preserve">that </w:t>
      </w:r>
      <w:r>
        <w:rPr>
          <w:rFonts w:ascii="Arial" w:eastAsia="Times New Roman" w:hAnsi="Arial" w:cs="Arial"/>
          <w:lang w:eastAsia="en-AU"/>
        </w:rPr>
        <w:t>provide essential infrastructure</w:t>
      </w:r>
      <w:r w:rsidR="004C5717">
        <w:rPr>
          <w:rFonts w:ascii="Arial" w:eastAsia="Times New Roman" w:hAnsi="Arial" w:cs="Arial"/>
          <w:lang w:eastAsia="en-AU"/>
        </w:rPr>
        <w:t xml:space="preserve"> are </w:t>
      </w:r>
      <w:r>
        <w:rPr>
          <w:rFonts w:ascii="Arial" w:eastAsia="Times New Roman" w:hAnsi="Arial" w:cs="Arial"/>
          <w:lang w:eastAsia="en-AU"/>
        </w:rPr>
        <w:t>currently at risk.</w:t>
      </w:r>
    </w:p>
    <w:p w14:paraId="4E04A629" w14:textId="77777777" w:rsidR="002D7C67" w:rsidRPr="0041258B" w:rsidRDefault="002D7C67" w:rsidP="00844BFE">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Workforce capability gaps create systemic service failure and vulnerability risks.</w:t>
      </w:r>
    </w:p>
    <w:p w14:paraId="4B6AEBD1" w14:textId="3095EC87" w:rsidR="002D7C67" w:rsidRPr="004D4EFE" w:rsidRDefault="002D7C67" w:rsidP="00DB3579">
      <w:pPr>
        <w:numPr>
          <w:ilvl w:val="0"/>
          <w:numId w:val="3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Action aligns directly with national disability reform objectives and safeguarding priorities.</w:t>
      </w:r>
    </w:p>
    <w:p w14:paraId="5FE58392" w14:textId="54BED120" w:rsidR="002D7C67" w:rsidRPr="0041258B" w:rsidRDefault="002D7C67" w:rsidP="00213F01">
      <w:pPr>
        <w:pStyle w:val="Heading2"/>
        <w:spacing w:before="240"/>
        <w:rPr>
          <w:lang w:eastAsia="en-AU"/>
        </w:rPr>
      </w:pPr>
      <w:bookmarkStart w:id="10" w:name="_Toc233272892"/>
      <w:r>
        <w:rPr>
          <w:lang w:eastAsia="en-AU"/>
        </w:rPr>
        <w:t>1. Introduction</w:t>
      </w:r>
      <w:bookmarkEnd w:id="10"/>
    </w:p>
    <w:p w14:paraId="02F55F4B" w14:textId="77777777" w:rsidR="002D7C67" w:rsidRPr="0041258B" w:rsidRDefault="002D7C67" w:rsidP="00796B13">
      <w:pPr>
        <w:pStyle w:val="Heading4"/>
        <w:spacing w:line="276" w:lineRule="auto"/>
        <w:rPr>
          <w:lang w:eastAsia="en-AU"/>
        </w:rPr>
      </w:pPr>
      <w:r>
        <w:rPr>
          <w:lang w:eastAsia="en-AU"/>
        </w:rPr>
        <w:t>What is Deafblindness?</w:t>
      </w:r>
    </w:p>
    <w:p w14:paraId="1A557F43" w14:textId="77777777" w:rsidR="002D7C67" w:rsidRPr="0041258B" w:rsidRDefault="002D7C67" w:rsidP="00DB3579">
      <w:pPr>
        <w:spacing w:before="100" w:beforeAutospacing="1" w:after="0"/>
        <w:rPr>
          <w:rFonts w:ascii="Arial" w:eastAsia="Times New Roman" w:hAnsi="Arial" w:cs="Arial"/>
          <w:lang w:eastAsia="en-AU"/>
        </w:rPr>
      </w:pPr>
      <w:r>
        <w:rPr>
          <w:rFonts w:ascii="Arial" w:eastAsia="Times New Roman" w:hAnsi="Arial" w:cs="Arial"/>
          <w:lang w:eastAsia="en-AU"/>
        </w:rPr>
        <w:t>Deafblindness is a unique sensory disability resulting from combined hearing and vision loss. It significantly affects:</w:t>
      </w:r>
    </w:p>
    <w:p w14:paraId="5CFFFDF7" w14:textId="77777777" w:rsidR="002D7C67" w:rsidRPr="0041258B" w:rsidRDefault="002D7C67" w:rsidP="00DB3579">
      <w:pPr>
        <w:numPr>
          <w:ilvl w:val="0"/>
          <w:numId w:val="32"/>
        </w:numPr>
        <w:spacing w:before="240" w:after="100" w:afterAutospacing="1"/>
        <w:rPr>
          <w:rFonts w:ascii="Arial" w:eastAsia="Times New Roman" w:hAnsi="Arial" w:cs="Arial"/>
          <w:lang w:eastAsia="en-AU"/>
        </w:rPr>
      </w:pPr>
      <w:r>
        <w:rPr>
          <w:rFonts w:ascii="Arial" w:eastAsia="Times New Roman" w:hAnsi="Arial" w:cs="Arial"/>
          <w:lang w:eastAsia="en-AU"/>
        </w:rPr>
        <w:t>communication and access to information</w:t>
      </w:r>
    </w:p>
    <w:p w14:paraId="63BEC84A" w14:textId="77777777" w:rsidR="002D7C67" w:rsidRPr="0041258B" w:rsidRDefault="002D7C67" w:rsidP="00844BFE">
      <w:pPr>
        <w:numPr>
          <w:ilvl w:val="0"/>
          <w:numId w:val="3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mobility and navigation</w:t>
      </w:r>
    </w:p>
    <w:p w14:paraId="2916BDBD" w14:textId="77777777" w:rsidR="002D7C67" w:rsidRPr="0041258B" w:rsidRDefault="002D7C67" w:rsidP="00844BFE">
      <w:pPr>
        <w:numPr>
          <w:ilvl w:val="0"/>
          <w:numId w:val="3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social participation</w:t>
      </w:r>
    </w:p>
    <w:p w14:paraId="6879C2FD" w14:textId="77777777" w:rsidR="002D7C67" w:rsidRPr="0041258B" w:rsidRDefault="002D7C67" w:rsidP="00844BFE">
      <w:pPr>
        <w:numPr>
          <w:ilvl w:val="0"/>
          <w:numId w:val="3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employment opportunities</w:t>
      </w:r>
    </w:p>
    <w:p w14:paraId="223A611E" w14:textId="77777777" w:rsidR="002D7C67" w:rsidRDefault="002D7C67" w:rsidP="00844BFE">
      <w:pPr>
        <w:numPr>
          <w:ilvl w:val="0"/>
          <w:numId w:val="3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independence and safety</w:t>
      </w:r>
    </w:p>
    <w:p w14:paraId="62E79CA4" w14:textId="3B1FE5BA" w:rsidR="00366E16" w:rsidRPr="0041258B" w:rsidRDefault="00366E16" w:rsidP="00844BFE">
      <w:pPr>
        <w:numPr>
          <w:ilvl w:val="0"/>
          <w:numId w:val="3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transition across all life</w:t>
      </w:r>
      <w:r w:rsidR="00F87FA1">
        <w:rPr>
          <w:rFonts w:ascii="Arial" w:eastAsia="Times New Roman" w:hAnsi="Arial" w:cs="Arial"/>
          <w:lang w:eastAsia="en-AU"/>
        </w:rPr>
        <w:t xml:space="preserve"> </w:t>
      </w:r>
      <w:r>
        <w:rPr>
          <w:rFonts w:ascii="Arial" w:eastAsia="Times New Roman" w:hAnsi="Arial" w:cs="Arial"/>
          <w:lang w:eastAsia="en-AU"/>
        </w:rPr>
        <w:t>stages</w:t>
      </w:r>
    </w:p>
    <w:p w14:paraId="34AC8362" w14:textId="3D3D0C34"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People with deafblindness use diverse communication methods, including spoken language, tactile communication, Australian Sign Language (Auslan) and alternative forms of communication. Needs vary widely depending on onset, severity, and individual circumstances.</w:t>
      </w:r>
    </w:p>
    <w:p w14:paraId="1D8B299C" w14:textId="678977E2" w:rsidR="00E95493"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Deafblindness is often misunderstood as two separate impairments rather than a single condition with multiplicative impacts. This misunderstanding contributes to policy and service gaps.</w:t>
      </w:r>
    </w:p>
    <w:p w14:paraId="7B82500D" w14:textId="1CA66043" w:rsidR="002D7C67" w:rsidRPr="0041258B" w:rsidRDefault="005D3324" w:rsidP="007E5678">
      <w:pPr>
        <w:spacing w:before="100" w:beforeAutospacing="1" w:after="100" w:afterAutospacing="1"/>
        <w:rPr>
          <w:rFonts w:ascii="Arial" w:eastAsia="Times New Roman" w:hAnsi="Arial" w:cs="Arial"/>
          <w:lang w:eastAsia="en-AU"/>
        </w:rPr>
      </w:pPr>
      <w:r w:rsidRPr="00F249CB">
        <w:rPr>
          <w:rFonts w:ascii="Arial" w:eastAsia="Times New Roman" w:hAnsi="Arial" w:cs="Arial"/>
          <w:lang w:eastAsia="en-AU"/>
        </w:rPr>
        <w:lastRenderedPageBreak/>
        <w:t>Congenital deafblindness requires recognition</w:t>
      </w:r>
      <w:r w:rsidR="00F249CB">
        <w:rPr>
          <w:rFonts w:ascii="Arial" w:eastAsia="Times New Roman" w:hAnsi="Arial" w:cs="Arial"/>
          <w:lang w:eastAsia="en-AU"/>
        </w:rPr>
        <w:t>,</w:t>
      </w:r>
      <w:r w:rsidRPr="00F249CB">
        <w:rPr>
          <w:rFonts w:ascii="Arial" w:eastAsia="Times New Roman" w:hAnsi="Arial" w:cs="Arial"/>
          <w:lang w:eastAsia="en-AU"/>
        </w:rPr>
        <w:t xml:space="preserve"> distinct from later-onset sensory loss, </w:t>
      </w:r>
      <w:r w:rsidR="00F249CB">
        <w:rPr>
          <w:rFonts w:ascii="Arial" w:eastAsia="Times New Roman" w:hAnsi="Arial" w:cs="Arial"/>
          <w:lang w:eastAsia="en-AU"/>
        </w:rPr>
        <w:t>with</w:t>
      </w:r>
      <w:r w:rsidRPr="00F249CB">
        <w:rPr>
          <w:rFonts w:ascii="Arial" w:eastAsia="Times New Roman" w:hAnsi="Arial" w:cs="Arial"/>
          <w:lang w:eastAsia="en-AU"/>
        </w:rPr>
        <w:t xml:space="preserve"> </w:t>
      </w:r>
      <w:r w:rsidR="00F249CB">
        <w:rPr>
          <w:rFonts w:ascii="Arial" w:eastAsia="Times New Roman" w:hAnsi="Arial" w:cs="Arial"/>
          <w:lang w:eastAsia="en-AU"/>
        </w:rPr>
        <w:t xml:space="preserve">need for </w:t>
      </w:r>
      <w:r w:rsidRPr="00F249CB">
        <w:rPr>
          <w:rFonts w:ascii="Arial" w:eastAsia="Times New Roman" w:hAnsi="Arial" w:cs="Arial"/>
          <w:lang w:eastAsia="en-AU"/>
        </w:rPr>
        <w:t>early identification, family-centred support, and tailored workforce training.</w:t>
      </w:r>
    </w:p>
    <w:p w14:paraId="51460E9D" w14:textId="77777777" w:rsidR="002D7C67" w:rsidRPr="0041258B" w:rsidRDefault="002D7C67" w:rsidP="00844BFE">
      <w:pPr>
        <w:pStyle w:val="Heading4"/>
        <w:rPr>
          <w:lang w:eastAsia="en-AU"/>
        </w:rPr>
      </w:pPr>
      <w:r>
        <w:rPr>
          <w:lang w:eastAsia="en-AU"/>
        </w:rPr>
        <w:t>Scale and Policy Context</w:t>
      </w:r>
    </w:p>
    <w:p w14:paraId="07AB7BAC" w14:textId="5D3F8552" w:rsidR="002D7C67" w:rsidRPr="0041258B" w:rsidRDefault="002D7C67" w:rsidP="00DB3579">
      <w:pPr>
        <w:spacing w:before="100" w:beforeAutospacing="1" w:after="0"/>
        <w:rPr>
          <w:rFonts w:ascii="Arial" w:eastAsia="Times New Roman" w:hAnsi="Arial" w:cs="Arial"/>
          <w:lang w:eastAsia="en-AU"/>
        </w:rPr>
      </w:pPr>
      <w:r>
        <w:rPr>
          <w:rFonts w:ascii="Arial" w:eastAsia="Times New Roman" w:hAnsi="Arial" w:cs="Arial"/>
          <w:lang w:eastAsia="en-AU"/>
        </w:rPr>
        <w:t>Available data suggests approximately 556,000 Australians experience deafblindness. However, prevalence is likely higher due to:</w:t>
      </w:r>
    </w:p>
    <w:p w14:paraId="58B438C5" w14:textId="77777777" w:rsidR="002D7C67" w:rsidRPr="0041258B" w:rsidRDefault="002D7C67" w:rsidP="00DB3579">
      <w:pPr>
        <w:numPr>
          <w:ilvl w:val="0"/>
          <w:numId w:val="33"/>
        </w:numPr>
        <w:spacing w:before="240" w:after="100" w:afterAutospacing="1"/>
        <w:rPr>
          <w:rFonts w:ascii="Arial" w:eastAsia="Times New Roman" w:hAnsi="Arial" w:cs="Arial"/>
          <w:lang w:eastAsia="en-AU"/>
        </w:rPr>
      </w:pPr>
      <w:r>
        <w:rPr>
          <w:rFonts w:ascii="Arial" w:eastAsia="Times New Roman" w:hAnsi="Arial" w:cs="Arial"/>
          <w:lang w:eastAsia="en-AU"/>
        </w:rPr>
        <w:t>under-identification in service systems</w:t>
      </w:r>
    </w:p>
    <w:p w14:paraId="14F2BBC1" w14:textId="77777777" w:rsidR="002D7C67" w:rsidRPr="0041258B" w:rsidRDefault="002D7C67" w:rsidP="00844BFE">
      <w:pPr>
        <w:numPr>
          <w:ilvl w:val="0"/>
          <w:numId w:val="3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limited national data collection</w:t>
      </w:r>
    </w:p>
    <w:p w14:paraId="3F199AF4" w14:textId="77777777" w:rsidR="002D7C67" w:rsidRPr="0041258B" w:rsidRDefault="002D7C67" w:rsidP="00844BFE">
      <w:pPr>
        <w:numPr>
          <w:ilvl w:val="0"/>
          <w:numId w:val="3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exclusion of remote communities from major surveys</w:t>
      </w:r>
    </w:p>
    <w:p w14:paraId="545A5330" w14:textId="77777777" w:rsidR="002D7C67" w:rsidRPr="0041258B" w:rsidRDefault="002D7C67" w:rsidP="00844BFE">
      <w:pPr>
        <w:numPr>
          <w:ilvl w:val="0"/>
          <w:numId w:val="3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inconsistent definitions across sectors</w:t>
      </w:r>
    </w:p>
    <w:p w14:paraId="28363C65"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These gaps undermine the effectiveness of major reforms, including the National Disability Insurance Scheme (NDIS), health system reforms, and aged-care transformation.</w:t>
      </w:r>
    </w:p>
    <w:p w14:paraId="789B48DB" w14:textId="7FA624F9" w:rsidR="002D7C67" w:rsidRPr="0041258B" w:rsidRDefault="002D7C67" w:rsidP="00AB42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Addressing deafblindness is therefore not a niche issue — it is a system performance issue.</w:t>
      </w:r>
    </w:p>
    <w:p w14:paraId="7846FA5B" w14:textId="77777777" w:rsidR="002D7C67" w:rsidRPr="0041258B" w:rsidRDefault="002D7C67" w:rsidP="00213F01">
      <w:pPr>
        <w:pStyle w:val="Heading2"/>
        <w:spacing w:before="240"/>
        <w:rPr>
          <w:lang w:eastAsia="en-AU"/>
        </w:rPr>
      </w:pPr>
      <w:bookmarkStart w:id="11" w:name="_Toc233272893"/>
      <w:r>
        <w:rPr>
          <w:lang w:eastAsia="en-AU"/>
        </w:rPr>
        <w:t>2. Economic and Human Impact</w:t>
      </w:r>
      <w:bookmarkEnd w:id="11"/>
    </w:p>
    <w:p w14:paraId="55FF7E8D" w14:textId="77777777" w:rsidR="002D7C67" w:rsidRPr="00796B13" w:rsidRDefault="002D7C67" w:rsidP="00796B13">
      <w:pPr>
        <w:pStyle w:val="Heading4"/>
        <w:spacing w:line="276" w:lineRule="auto"/>
      </w:pPr>
      <w:r>
        <w:t>Economic Impact</w:t>
      </w:r>
    </w:p>
    <w:p w14:paraId="45A6CD0D" w14:textId="77777777" w:rsidR="002D7C67" w:rsidRPr="0041258B" w:rsidRDefault="002D7C67" w:rsidP="00DB3579">
      <w:pPr>
        <w:spacing w:before="100" w:beforeAutospacing="1" w:after="0"/>
        <w:rPr>
          <w:rFonts w:ascii="Arial" w:eastAsia="Times New Roman" w:hAnsi="Arial" w:cs="Arial"/>
          <w:lang w:eastAsia="en-AU"/>
        </w:rPr>
      </w:pPr>
      <w:r>
        <w:rPr>
          <w:rFonts w:ascii="Arial" w:eastAsia="Times New Roman" w:hAnsi="Arial" w:cs="Arial"/>
          <w:lang w:eastAsia="en-AU"/>
        </w:rPr>
        <w:t>Failure to address deafblindness effectively leads to:</w:t>
      </w:r>
    </w:p>
    <w:p w14:paraId="2B153FCB" w14:textId="77777777" w:rsidR="002D7C67" w:rsidRPr="0041258B" w:rsidRDefault="002D7C67" w:rsidP="00DB3579">
      <w:pPr>
        <w:numPr>
          <w:ilvl w:val="0"/>
          <w:numId w:val="34"/>
        </w:numPr>
        <w:spacing w:before="240" w:after="100" w:afterAutospacing="1"/>
        <w:rPr>
          <w:rFonts w:ascii="Arial" w:eastAsia="Times New Roman" w:hAnsi="Arial" w:cs="Arial"/>
          <w:lang w:eastAsia="en-AU"/>
        </w:rPr>
      </w:pPr>
      <w:r>
        <w:rPr>
          <w:rFonts w:ascii="Arial" w:eastAsia="Times New Roman" w:hAnsi="Arial" w:cs="Arial"/>
          <w:lang w:eastAsia="en-AU"/>
        </w:rPr>
        <w:t>inefficient service use</w:t>
      </w:r>
    </w:p>
    <w:p w14:paraId="693D20F1" w14:textId="77777777" w:rsidR="002D7C67" w:rsidRPr="0041258B" w:rsidRDefault="002D7C67" w:rsidP="00844BFE">
      <w:pPr>
        <w:numPr>
          <w:ilvl w:val="0"/>
          <w:numId w:val="3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duplicated or inappropriate supports</w:t>
      </w:r>
    </w:p>
    <w:p w14:paraId="6925A15A" w14:textId="77777777" w:rsidR="002D7C67" w:rsidRPr="0041258B" w:rsidRDefault="002D7C67" w:rsidP="00844BFE">
      <w:pPr>
        <w:numPr>
          <w:ilvl w:val="0"/>
          <w:numId w:val="3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higher crisis intervention costs</w:t>
      </w:r>
    </w:p>
    <w:p w14:paraId="63ABF7CC" w14:textId="77777777" w:rsidR="002D7C67" w:rsidRPr="0041258B" w:rsidRDefault="002D7C67" w:rsidP="00844BFE">
      <w:pPr>
        <w:numPr>
          <w:ilvl w:val="0"/>
          <w:numId w:val="3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long-term care needs</w:t>
      </w:r>
    </w:p>
    <w:p w14:paraId="574E41D9" w14:textId="77777777" w:rsidR="002D7C67" w:rsidRPr="0041258B" w:rsidRDefault="002D7C67" w:rsidP="00844BFE">
      <w:pPr>
        <w:numPr>
          <w:ilvl w:val="0"/>
          <w:numId w:val="3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lost workforce participation</w:t>
      </w:r>
    </w:p>
    <w:p w14:paraId="7040FB85" w14:textId="77777777" w:rsidR="002D7C67" w:rsidRDefault="002D7C67" w:rsidP="00844BFE">
      <w:pPr>
        <w:numPr>
          <w:ilvl w:val="0"/>
          <w:numId w:val="3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interpreting and communication costs</w:t>
      </w:r>
    </w:p>
    <w:p w14:paraId="050BA9F5" w14:textId="7D696E8D" w:rsidR="00C2486C" w:rsidRPr="00C2486C" w:rsidRDefault="00C2486C" w:rsidP="00C2486C">
      <w:pPr>
        <w:numPr>
          <w:ilvl w:val="0"/>
          <w:numId w:val="3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development of systemic trauma and self-advocacy fatigue</w:t>
      </w:r>
    </w:p>
    <w:p w14:paraId="07FE076B"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Targeted identification, early intervention, and appropriate support reduce long-term government expenditure and improve service efficiency.</w:t>
      </w:r>
    </w:p>
    <w:p w14:paraId="5D43DA36" w14:textId="30A75C78" w:rsidR="00AB42FE"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Investment in prevention and capability produces measurable public return.</w:t>
      </w:r>
    </w:p>
    <w:p w14:paraId="48E24B62" w14:textId="1ED22EF7" w:rsidR="002D7C67" w:rsidRPr="0041258B" w:rsidRDefault="002D7C67" w:rsidP="00844BFE">
      <w:pPr>
        <w:pStyle w:val="Heading4"/>
        <w:rPr>
          <w:lang w:eastAsia="en-AU"/>
        </w:rPr>
      </w:pPr>
      <w:r>
        <w:rPr>
          <w:lang w:eastAsia="en-AU"/>
        </w:rPr>
        <w:lastRenderedPageBreak/>
        <w:t>Human Impact</w:t>
      </w:r>
    </w:p>
    <w:p w14:paraId="2C72BD6D"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Without appropriate support, people with deafblindness experience:</w:t>
      </w:r>
    </w:p>
    <w:p w14:paraId="48D9DBBC" w14:textId="77777777" w:rsidR="002D7C67" w:rsidRPr="0041258B" w:rsidRDefault="002D7C67" w:rsidP="00844BFE">
      <w:pPr>
        <w:numPr>
          <w:ilvl w:val="0"/>
          <w:numId w:val="35"/>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extreme social isolation</w:t>
      </w:r>
    </w:p>
    <w:p w14:paraId="68CF8CAB" w14:textId="77777777" w:rsidR="002D7C67" w:rsidRPr="0041258B" w:rsidRDefault="002D7C67" w:rsidP="00844BFE">
      <w:pPr>
        <w:numPr>
          <w:ilvl w:val="0"/>
          <w:numId w:val="35"/>
        </w:numPr>
        <w:spacing w:before="100" w:beforeAutospacing="1" w:after="100" w:afterAutospacing="1"/>
        <w:rPr>
          <w:rFonts w:ascii="Arial" w:eastAsia="Times New Roman" w:hAnsi="Arial" w:cs="Arial"/>
          <w:lang w:eastAsia="en-AU"/>
        </w:rPr>
      </w:pPr>
      <w:r>
        <w:rPr>
          <w:rFonts w:ascii="Arial" w:eastAsia="Times New Roman" w:hAnsi="Arial" w:cs="Arial"/>
          <w:lang w:eastAsia="en-AU"/>
        </w:rPr>
        <w:t>barriers to healthcare and information</w:t>
      </w:r>
    </w:p>
    <w:p w14:paraId="7D545FFF" w14:textId="77777777" w:rsidR="002D7C67" w:rsidRPr="0041258B" w:rsidRDefault="002D7C67" w:rsidP="00844BFE">
      <w:pPr>
        <w:numPr>
          <w:ilvl w:val="0"/>
          <w:numId w:val="35"/>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vulnerability to abuse or neglect</w:t>
      </w:r>
    </w:p>
    <w:p w14:paraId="28F3BEB6" w14:textId="77777777" w:rsidR="002D7C67" w:rsidRPr="0041258B" w:rsidRDefault="002D7C67" w:rsidP="00844BFE">
      <w:pPr>
        <w:numPr>
          <w:ilvl w:val="0"/>
          <w:numId w:val="35"/>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reduced independence</w:t>
      </w:r>
    </w:p>
    <w:p w14:paraId="29E8165F" w14:textId="77777777" w:rsidR="002D7C67" w:rsidRDefault="002D7C67" w:rsidP="00844BFE">
      <w:pPr>
        <w:numPr>
          <w:ilvl w:val="0"/>
          <w:numId w:val="35"/>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exclusion from education and employment</w:t>
      </w:r>
    </w:p>
    <w:p w14:paraId="203D9BC4" w14:textId="2AFFEC02" w:rsidR="00CE6DB3" w:rsidRPr="0037433F" w:rsidRDefault="0037433F" w:rsidP="0037433F">
      <w:pPr>
        <w:numPr>
          <w:ilvl w:val="0"/>
          <w:numId w:val="3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exclusion from community participation</w:t>
      </w:r>
    </w:p>
    <w:p w14:paraId="22B531FB" w14:textId="0542367B" w:rsidR="002D7C67" w:rsidRPr="0041258B" w:rsidRDefault="002D7C67" w:rsidP="00AB42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These outcomes contradict Australia’s commitments to disability inclusion, human rights, and safeguarding.</w:t>
      </w:r>
    </w:p>
    <w:p w14:paraId="588A5A6F" w14:textId="77777777" w:rsidR="00796B13" w:rsidRDefault="002D7C67" w:rsidP="00DB3579">
      <w:pPr>
        <w:pStyle w:val="Heading2"/>
        <w:spacing w:before="240" w:after="0"/>
      </w:pPr>
      <w:bookmarkStart w:id="12" w:name="_Toc233272894"/>
      <w:r>
        <w:t>3. Advocacy Priority One:</w:t>
      </w:r>
      <w:bookmarkEnd w:id="12"/>
      <w:r>
        <w:t xml:space="preserve"> </w:t>
      </w:r>
    </w:p>
    <w:p w14:paraId="1C4B3736" w14:textId="2CD09254" w:rsidR="002D7C67" w:rsidRPr="00796B13" w:rsidRDefault="002D7C67" w:rsidP="00213F01">
      <w:pPr>
        <w:pStyle w:val="Heading2"/>
      </w:pPr>
      <w:bookmarkStart w:id="13" w:name="_Toc233272895"/>
      <w:r>
        <w:t>National Data and</w:t>
      </w:r>
      <w:r>
        <w:rPr>
          <w:rStyle w:val="IntenseEmphasis"/>
          <w:rFonts w:asciiTheme="minorHAnsi" w:hAnsiTheme="minorHAnsi"/>
          <w:b/>
          <w:iCs w:val="0"/>
          <w:color w:val="000000" w:themeColor="text1"/>
          <w:sz w:val="36"/>
        </w:rPr>
        <w:t xml:space="preserve"> </w:t>
      </w:r>
      <w:r>
        <w:t>Identification Framework</w:t>
      </w:r>
      <w:bookmarkEnd w:id="13"/>
    </w:p>
    <w:p w14:paraId="0C91E1F8" w14:textId="77777777" w:rsidR="002D7C67" w:rsidRPr="0041258B" w:rsidRDefault="002D7C67" w:rsidP="00796B13">
      <w:pPr>
        <w:pStyle w:val="Heading4"/>
        <w:rPr>
          <w:lang w:eastAsia="en-AU"/>
        </w:rPr>
      </w:pPr>
      <w:r>
        <w:rPr>
          <w:lang w:eastAsia="en-AU"/>
        </w:rPr>
        <w:t>Policy Problem</w:t>
      </w:r>
    </w:p>
    <w:p w14:paraId="5396A848" w14:textId="10DABE32"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Australia currently lacks a national identification framework and coordinated national data collection on people with deafblindness. Many systems record hearing and vision loss separately, failing to recognise the combined disability. Thresholds for identification are set by combining severe/profound severity of both hearing and vision loss, although significant impact occurs at both mild and moderate severity levels in the context of combined loss.</w:t>
      </w:r>
    </w:p>
    <w:p w14:paraId="55C2AD0B" w14:textId="77777777" w:rsidR="002D7C67" w:rsidRPr="0041258B" w:rsidRDefault="002D7C67" w:rsidP="00DB3579">
      <w:pPr>
        <w:spacing w:before="100" w:beforeAutospacing="1" w:after="0"/>
        <w:rPr>
          <w:rFonts w:ascii="Arial" w:eastAsia="Times New Roman" w:hAnsi="Arial" w:cs="Arial"/>
          <w:lang w:eastAsia="en-AU"/>
        </w:rPr>
      </w:pPr>
      <w:r>
        <w:rPr>
          <w:rFonts w:ascii="Arial" w:eastAsia="Times New Roman" w:hAnsi="Arial" w:cs="Arial"/>
          <w:lang w:eastAsia="en-AU"/>
        </w:rPr>
        <w:t>This leads to:</w:t>
      </w:r>
    </w:p>
    <w:p w14:paraId="28756580" w14:textId="77777777" w:rsidR="002D7C67" w:rsidRPr="0041258B" w:rsidRDefault="002D7C67" w:rsidP="00DB3579">
      <w:pPr>
        <w:numPr>
          <w:ilvl w:val="0"/>
          <w:numId w:val="36"/>
        </w:numPr>
        <w:spacing w:before="240" w:after="100" w:afterAutospacing="1"/>
        <w:rPr>
          <w:rFonts w:ascii="Arial" w:eastAsia="Times New Roman" w:hAnsi="Arial" w:cs="Arial"/>
          <w:lang w:eastAsia="en-AU"/>
        </w:rPr>
      </w:pPr>
      <w:r>
        <w:rPr>
          <w:rFonts w:ascii="Arial" w:eastAsia="Times New Roman" w:hAnsi="Arial" w:cs="Arial"/>
          <w:lang w:eastAsia="en-AU"/>
        </w:rPr>
        <w:t>inaccurate policy design</w:t>
      </w:r>
    </w:p>
    <w:p w14:paraId="3AC3A58F" w14:textId="77777777" w:rsidR="002D7C67" w:rsidRPr="0041258B" w:rsidRDefault="002D7C67" w:rsidP="00844BFE">
      <w:pPr>
        <w:numPr>
          <w:ilvl w:val="0"/>
          <w:numId w:val="3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ineffective resource allocation</w:t>
      </w:r>
    </w:p>
    <w:p w14:paraId="7EB3326A" w14:textId="77777777" w:rsidR="002D7C67" w:rsidRPr="0041258B" w:rsidRDefault="002D7C67" w:rsidP="00844BFE">
      <w:pPr>
        <w:numPr>
          <w:ilvl w:val="0"/>
          <w:numId w:val="3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workforce training gaps</w:t>
      </w:r>
    </w:p>
    <w:p w14:paraId="3BA21A0C" w14:textId="77777777" w:rsidR="002D7C67" w:rsidRDefault="002D7C67" w:rsidP="00844BFE">
      <w:pPr>
        <w:numPr>
          <w:ilvl w:val="0"/>
          <w:numId w:val="3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exclusion from data-driven reform</w:t>
      </w:r>
    </w:p>
    <w:p w14:paraId="00A41E38" w14:textId="7DA04077" w:rsidR="00EB7719" w:rsidRPr="00617492" w:rsidRDefault="00EB7719" w:rsidP="00DB3579">
      <w:pPr>
        <w:numPr>
          <w:ilvl w:val="0"/>
          <w:numId w:val="36"/>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exclusion from access to services</w:t>
      </w:r>
    </w:p>
    <w:p w14:paraId="5436CFF5" w14:textId="638A7C92" w:rsidR="00E95493"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With increasing reliance on data-based decision-making and changes to the National Disability Insurance Scheme, this gap creates systemic risk.</w:t>
      </w:r>
    </w:p>
    <w:p w14:paraId="5B3F8997" w14:textId="77777777" w:rsidR="00EE2601" w:rsidRPr="0041258B" w:rsidRDefault="00EE2601" w:rsidP="00844BFE">
      <w:pPr>
        <w:spacing w:before="100" w:beforeAutospacing="1" w:after="100" w:afterAutospacing="1"/>
        <w:rPr>
          <w:rFonts w:ascii="Arial" w:eastAsia="Times New Roman" w:hAnsi="Arial" w:cs="Arial"/>
          <w:lang w:eastAsia="en-AU"/>
        </w:rPr>
      </w:pPr>
    </w:p>
    <w:p w14:paraId="559DD923" w14:textId="77777777" w:rsidR="002D7C67" w:rsidRPr="00796B13" w:rsidRDefault="002D7C67" w:rsidP="00844BFE">
      <w:pPr>
        <w:pStyle w:val="Heading4"/>
      </w:pPr>
      <w:r>
        <w:lastRenderedPageBreak/>
        <w:t>Recommended Government Action</w:t>
      </w:r>
    </w:p>
    <w:p w14:paraId="239FF92C"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Government should establish a national framework to:</w:t>
      </w:r>
    </w:p>
    <w:p w14:paraId="4B26D537" w14:textId="77777777" w:rsidR="002D7C67" w:rsidRDefault="002D7C67" w:rsidP="00844BFE">
      <w:pPr>
        <w:numPr>
          <w:ilvl w:val="0"/>
          <w:numId w:val="37"/>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review existing datasets across disability, health, education, and aged care</w:t>
      </w:r>
    </w:p>
    <w:p w14:paraId="0F9B612A" w14:textId="56EB4686" w:rsidR="005C5896" w:rsidRPr="0041258B" w:rsidRDefault="005C5896" w:rsidP="00844BFE">
      <w:pPr>
        <w:numPr>
          <w:ilvl w:val="0"/>
          <w:numId w:val="37"/>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recognise deafblindness as a unique disability, separate from hearing and vision loss</w:t>
      </w:r>
    </w:p>
    <w:p w14:paraId="2BCE7CB8" w14:textId="7C644CF9" w:rsidR="002D7C67" w:rsidRPr="0041258B" w:rsidRDefault="002D7C67" w:rsidP="00844BFE">
      <w:pPr>
        <w:numPr>
          <w:ilvl w:val="0"/>
          <w:numId w:val="37"/>
        </w:numPr>
        <w:spacing w:before="100" w:beforeAutospacing="1" w:after="100" w:afterAutospacing="1"/>
        <w:rPr>
          <w:rFonts w:ascii="Arial" w:eastAsia="Times New Roman" w:hAnsi="Arial" w:cs="Arial"/>
          <w:lang w:eastAsia="en-AU"/>
        </w:rPr>
      </w:pPr>
      <w:r>
        <w:rPr>
          <w:rFonts w:ascii="Arial" w:eastAsia="Times New Roman" w:hAnsi="Arial" w:cs="Arial"/>
          <w:lang w:eastAsia="en-AU"/>
        </w:rPr>
        <w:t>develop national functional definitions aligned with the World Health Organization International Classification of Functioning, Disability and Health, Core Sets for deafblindness</w:t>
      </w:r>
    </w:p>
    <w:p w14:paraId="2B935B3D" w14:textId="77777777" w:rsidR="002D7C67" w:rsidRDefault="002D7C67" w:rsidP="00844BFE">
      <w:pPr>
        <w:numPr>
          <w:ilvl w:val="0"/>
          <w:numId w:val="37"/>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incorporate deafblind identification into the National Disability Data Asset</w:t>
      </w:r>
    </w:p>
    <w:p w14:paraId="20494B12" w14:textId="27386743" w:rsidR="00E10B59" w:rsidRPr="00E10B59" w:rsidRDefault="00E10B59" w:rsidP="00E10B59">
      <w:pPr>
        <w:numPr>
          <w:ilvl w:val="0"/>
          <w:numId w:val="37"/>
        </w:numPr>
        <w:spacing w:before="100" w:beforeAutospacing="1" w:after="100" w:afterAutospacing="1"/>
        <w:rPr>
          <w:rFonts w:ascii="Arial" w:eastAsia="Times New Roman" w:hAnsi="Arial" w:cs="Arial"/>
          <w:lang w:eastAsia="en-AU"/>
        </w:rPr>
      </w:pPr>
      <w:r w:rsidRPr="00E10B59">
        <w:rPr>
          <w:rFonts w:ascii="Arial" w:eastAsia="Times New Roman" w:hAnsi="Arial" w:cs="Arial"/>
          <w:lang w:eastAsia="en-AU"/>
        </w:rPr>
        <w:t>ensure definitions and data collection explicitly recognise congenital and complex presentations of deafblindness and support early childhood identification and intervention pathways</w:t>
      </w:r>
    </w:p>
    <w:p w14:paraId="4C2E15F1" w14:textId="1CA6C887" w:rsidR="00E95493" w:rsidRPr="00AB42FE" w:rsidRDefault="002D7C67" w:rsidP="00E95493">
      <w:pPr>
        <w:numPr>
          <w:ilvl w:val="0"/>
          <w:numId w:val="37"/>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ensure consistent classification across service systems</w:t>
      </w:r>
    </w:p>
    <w:p w14:paraId="026D2F56" w14:textId="77777777" w:rsidR="002D7C67" w:rsidRPr="0041258B" w:rsidRDefault="002D7C67" w:rsidP="00844BFE">
      <w:pPr>
        <w:pStyle w:val="Heading4"/>
        <w:rPr>
          <w:lang w:eastAsia="en-AU"/>
        </w:rPr>
      </w:pPr>
      <w:r>
        <w:rPr>
          <w:lang w:eastAsia="en-AU"/>
        </w:rPr>
        <w:t>Policy Benefits</w:t>
      </w:r>
    </w:p>
    <w:p w14:paraId="31BD9E8E" w14:textId="77777777" w:rsidR="002D7C67" w:rsidRPr="0041258B" w:rsidRDefault="002D7C67" w:rsidP="00844BFE">
      <w:pPr>
        <w:numPr>
          <w:ilvl w:val="0"/>
          <w:numId w:val="38"/>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evidence-based policy development</w:t>
      </w:r>
    </w:p>
    <w:p w14:paraId="52787CC9" w14:textId="77777777" w:rsidR="002D7C67" w:rsidRPr="0041258B" w:rsidRDefault="002D7C67" w:rsidP="00844BFE">
      <w:pPr>
        <w:numPr>
          <w:ilvl w:val="0"/>
          <w:numId w:val="38"/>
        </w:numPr>
        <w:spacing w:before="100" w:beforeAutospacing="1" w:after="100" w:afterAutospacing="1"/>
        <w:rPr>
          <w:rFonts w:ascii="Arial" w:eastAsia="Times New Roman" w:hAnsi="Arial" w:cs="Arial"/>
          <w:lang w:eastAsia="en-AU"/>
        </w:rPr>
      </w:pPr>
      <w:r>
        <w:rPr>
          <w:rFonts w:ascii="Arial" w:eastAsia="Times New Roman" w:hAnsi="Arial" w:cs="Arial"/>
          <w:lang w:eastAsia="en-AU"/>
        </w:rPr>
        <w:t>targeted service delivery</w:t>
      </w:r>
    </w:p>
    <w:p w14:paraId="73581BA2" w14:textId="77777777" w:rsidR="002D7C67" w:rsidRPr="0041258B" w:rsidRDefault="002D7C67" w:rsidP="00844BFE">
      <w:pPr>
        <w:numPr>
          <w:ilvl w:val="0"/>
          <w:numId w:val="38"/>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improved workforce planning</w:t>
      </w:r>
    </w:p>
    <w:p w14:paraId="16291648" w14:textId="77777777" w:rsidR="002D7C67" w:rsidRPr="0041258B" w:rsidRDefault="002D7C67" w:rsidP="00844BFE">
      <w:pPr>
        <w:numPr>
          <w:ilvl w:val="0"/>
          <w:numId w:val="38"/>
        </w:numPr>
        <w:spacing w:before="100" w:beforeAutospacing="1" w:after="100" w:afterAutospacing="1"/>
        <w:rPr>
          <w:rFonts w:ascii="Arial" w:eastAsia="Times New Roman" w:hAnsi="Arial" w:cs="Arial"/>
          <w:lang w:eastAsia="en-AU"/>
        </w:rPr>
      </w:pPr>
      <w:r>
        <w:rPr>
          <w:rFonts w:ascii="Arial" w:eastAsia="Times New Roman" w:hAnsi="Arial" w:cs="Arial"/>
          <w:lang w:eastAsia="en-AU"/>
        </w:rPr>
        <w:t>more efficient use of public funding</w:t>
      </w:r>
    </w:p>
    <w:p w14:paraId="230AF7A5" w14:textId="5F61E8D5" w:rsidR="00111D99" w:rsidRPr="0099751E" w:rsidRDefault="002D7C67" w:rsidP="00DB3579">
      <w:pPr>
        <w:numPr>
          <w:ilvl w:val="0"/>
          <w:numId w:val="38"/>
        </w:numPr>
        <w:spacing w:before="100" w:beforeAutospacing="1" w:after="100" w:afterAutospacing="1"/>
        <w:rPr>
          <w:rFonts w:cstheme="majorHAnsi"/>
          <w:b/>
          <w:bCs/>
          <w:color w:val="000000" w:themeColor="text1"/>
          <w:sz w:val="36"/>
          <w:szCs w:val="44"/>
          <w:lang w:eastAsia="en-AU"/>
        </w:rPr>
      </w:pPr>
      <w:r>
        <w:rPr>
          <w:rFonts w:ascii="Arial" w:eastAsia="Times New Roman" w:hAnsi="Arial" w:cs="Arial"/>
          <w:lang w:eastAsia="en-AU"/>
        </w:rPr>
        <w:t>improved monitoring of reform outcomes</w:t>
      </w:r>
    </w:p>
    <w:p w14:paraId="0DD144BC" w14:textId="38F17B10" w:rsidR="00796B13" w:rsidRDefault="002D7C67" w:rsidP="00DB3579">
      <w:pPr>
        <w:pStyle w:val="Heading2"/>
        <w:spacing w:before="240" w:after="0"/>
        <w:rPr>
          <w:lang w:eastAsia="en-AU"/>
        </w:rPr>
      </w:pPr>
      <w:bookmarkStart w:id="14" w:name="_Toc233272896"/>
      <w:r>
        <w:rPr>
          <w:lang w:eastAsia="en-AU"/>
        </w:rPr>
        <w:t>4. Advocacy Priority Two:</w:t>
      </w:r>
      <w:bookmarkEnd w:id="14"/>
    </w:p>
    <w:p w14:paraId="1A315E44" w14:textId="4789D586" w:rsidR="002D7C67" w:rsidRPr="0041258B" w:rsidRDefault="002D7C67" w:rsidP="00213F01">
      <w:pPr>
        <w:pStyle w:val="Heading2"/>
        <w:rPr>
          <w:lang w:eastAsia="en-AU"/>
        </w:rPr>
      </w:pPr>
      <w:bookmarkStart w:id="15" w:name="_Toc233272897"/>
      <w:r>
        <w:rPr>
          <w:lang w:eastAsia="en-AU"/>
        </w:rPr>
        <w:t>Sustainable Funding for Deafblind-Led Peer Support and Information Hubs</w:t>
      </w:r>
      <w:bookmarkEnd w:id="15"/>
    </w:p>
    <w:p w14:paraId="72FA18A3" w14:textId="77777777" w:rsidR="002D7C67" w:rsidRPr="0041258B" w:rsidRDefault="002D7C67" w:rsidP="00844BFE">
      <w:pPr>
        <w:pStyle w:val="Heading4"/>
        <w:rPr>
          <w:lang w:eastAsia="en-AU"/>
        </w:rPr>
      </w:pPr>
      <w:r>
        <w:rPr>
          <w:lang w:eastAsia="en-AU"/>
        </w:rPr>
        <w:t>Policy Problem</w:t>
      </w:r>
    </w:p>
    <w:p w14:paraId="7F901F6B"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Deafblind-led community organisations provide essential services that government systems cannot easily replicate, including:</w:t>
      </w:r>
    </w:p>
    <w:p w14:paraId="571255F6" w14:textId="77777777" w:rsidR="002D7C67" w:rsidRPr="0041258B" w:rsidRDefault="002D7C67" w:rsidP="00844BFE">
      <w:pPr>
        <w:numPr>
          <w:ilvl w:val="0"/>
          <w:numId w:val="3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peer support</w:t>
      </w:r>
    </w:p>
    <w:p w14:paraId="7578B593" w14:textId="77777777" w:rsidR="002D7C67" w:rsidRPr="0041258B" w:rsidRDefault="002D7C67" w:rsidP="00844BFE">
      <w:pPr>
        <w:numPr>
          <w:ilvl w:val="0"/>
          <w:numId w:val="3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information access</w:t>
      </w:r>
    </w:p>
    <w:p w14:paraId="32DAC83B" w14:textId="77777777" w:rsidR="002D7C67" w:rsidRPr="0041258B" w:rsidRDefault="002D7C67" w:rsidP="00844BFE">
      <w:pPr>
        <w:numPr>
          <w:ilvl w:val="0"/>
          <w:numId w:val="3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community connection</w:t>
      </w:r>
    </w:p>
    <w:p w14:paraId="0E4054C8" w14:textId="77777777" w:rsidR="002D7C67" w:rsidRPr="0041258B" w:rsidRDefault="002D7C67" w:rsidP="00844BFE">
      <w:pPr>
        <w:numPr>
          <w:ilvl w:val="0"/>
          <w:numId w:val="39"/>
        </w:numPr>
        <w:spacing w:before="100" w:beforeAutospacing="1" w:after="100" w:afterAutospacing="1"/>
        <w:rPr>
          <w:rFonts w:ascii="Arial" w:eastAsia="Times New Roman" w:hAnsi="Arial" w:cs="Arial"/>
          <w:lang w:eastAsia="en-AU"/>
        </w:rPr>
      </w:pPr>
      <w:r>
        <w:rPr>
          <w:rFonts w:ascii="Arial" w:eastAsia="Times New Roman" w:hAnsi="Arial" w:cs="Arial"/>
          <w:lang w:eastAsia="en-AU"/>
        </w:rPr>
        <w:lastRenderedPageBreak/>
        <w:t>policy feedback</w:t>
      </w:r>
    </w:p>
    <w:p w14:paraId="737206BF" w14:textId="71E645AA" w:rsidR="005D3324" w:rsidRPr="00E10B59" w:rsidRDefault="002D7C67" w:rsidP="00E10B59">
      <w:pPr>
        <w:numPr>
          <w:ilvl w:val="0"/>
          <w:numId w:val="39"/>
        </w:numPr>
        <w:spacing w:before="100" w:beforeAutospacing="1" w:after="100" w:afterAutospacing="1"/>
        <w:rPr>
          <w:rFonts w:ascii="Arial" w:eastAsia="Times New Roman" w:hAnsi="Arial" w:cs="Arial"/>
          <w:lang w:eastAsia="en-AU"/>
        </w:rPr>
      </w:pPr>
      <w:r>
        <w:rPr>
          <w:rFonts w:ascii="Arial" w:eastAsia="Times New Roman" w:hAnsi="Arial" w:cs="Arial"/>
          <w:lang w:eastAsia="en-AU"/>
        </w:rPr>
        <w:t>advocacy informed by lived experience</w:t>
      </w:r>
      <w:r w:rsidR="0026352C">
        <w:rPr>
          <w:rFonts w:ascii="Arial" w:eastAsia="Times New Roman" w:hAnsi="Arial" w:cs="Arial"/>
          <w:lang w:eastAsia="en-AU"/>
        </w:rPr>
        <w:t xml:space="preserve">, </w:t>
      </w:r>
      <w:r w:rsidR="005D3324">
        <w:t xml:space="preserve">family and parent-to-parent support, particularly where the person with </w:t>
      </w:r>
      <w:r w:rsidR="00E10B59">
        <w:t>deafblindness is</w:t>
      </w:r>
      <w:r w:rsidR="005D3324">
        <w:t xml:space="preserve"> a child and the family functions as the primary support unit</w:t>
      </w:r>
    </w:p>
    <w:p w14:paraId="28FC8166"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These organisations currently operate with short-term funding and face ongoing uncertainty.</w:t>
      </w:r>
    </w:p>
    <w:p w14:paraId="4509F8F6" w14:textId="04012734" w:rsidR="00E95493"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Generic sensory disability services have not successfully replaced deafblind-specific support due to specialised needs.</w:t>
      </w:r>
    </w:p>
    <w:p w14:paraId="4C1A547F" w14:textId="77777777" w:rsidR="002D7C67" w:rsidRPr="0041258B" w:rsidRDefault="002D7C67" w:rsidP="00844BFE">
      <w:pPr>
        <w:pStyle w:val="Heading4"/>
        <w:spacing w:before="240"/>
        <w:rPr>
          <w:lang w:eastAsia="en-AU"/>
        </w:rPr>
      </w:pPr>
      <w:r>
        <w:rPr>
          <w:lang w:eastAsia="en-AU"/>
        </w:rPr>
        <w:t>Recommended Government Action</w:t>
      </w:r>
    </w:p>
    <w:p w14:paraId="292876C3"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Government should:</w:t>
      </w:r>
    </w:p>
    <w:p w14:paraId="1060DC87" w14:textId="77777777" w:rsidR="002D7C67" w:rsidRPr="0041258B" w:rsidRDefault="002D7C67" w:rsidP="00844BFE">
      <w:pPr>
        <w:numPr>
          <w:ilvl w:val="0"/>
          <w:numId w:val="40"/>
        </w:numPr>
        <w:spacing w:before="100" w:beforeAutospacing="1" w:after="100" w:afterAutospacing="1"/>
        <w:rPr>
          <w:rFonts w:ascii="Arial" w:eastAsia="Times New Roman" w:hAnsi="Arial" w:cs="Arial"/>
          <w:lang w:eastAsia="en-AU"/>
        </w:rPr>
      </w:pPr>
      <w:r>
        <w:rPr>
          <w:rFonts w:ascii="Arial" w:eastAsia="Times New Roman" w:hAnsi="Arial" w:cs="Arial"/>
          <w:lang w:eastAsia="en-AU"/>
        </w:rPr>
        <w:t>provide secure, long-term funding for deafblind-led organisations</w:t>
      </w:r>
    </w:p>
    <w:p w14:paraId="6EF8D7AB" w14:textId="77777777" w:rsidR="002D7C67" w:rsidRPr="0041258B" w:rsidRDefault="002D7C67" w:rsidP="00844BFE">
      <w:pPr>
        <w:numPr>
          <w:ilvl w:val="0"/>
          <w:numId w:val="40"/>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recognise peer support as essential service infrastructure</w:t>
      </w:r>
    </w:p>
    <w:p w14:paraId="5B76B6E7" w14:textId="77777777" w:rsidR="002D7C67" w:rsidRPr="0041258B" w:rsidRDefault="002D7C67" w:rsidP="00844BFE">
      <w:pPr>
        <w:numPr>
          <w:ilvl w:val="0"/>
          <w:numId w:val="40"/>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strengthen collaboration between government and community organisations</w:t>
      </w:r>
    </w:p>
    <w:p w14:paraId="33B67A3F" w14:textId="59DA0D51" w:rsidR="00E95493" w:rsidRPr="003476CB" w:rsidRDefault="002D7C67" w:rsidP="00E95493">
      <w:pPr>
        <w:numPr>
          <w:ilvl w:val="0"/>
          <w:numId w:val="40"/>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support national and state-level advocacy networks</w:t>
      </w:r>
    </w:p>
    <w:p w14:paraId="5BC09149" w14:textId="041A090A" w:rsidR="00213F01" w:rsidRPr="00E10B59" w:rsidRDefault="002D7C67" w:rsidP="00DB3579">
      <w:pPr>
        <w:numPr>
          <w:ilvl w:val="0"/>
          <w:numId w:val="40"/>
        </w:numPr>
        <w:spacing w:before="100" w:beforeAutospacing="1" w:line="240" w:lineRule="auto"/>
        <w:rPr>
          <w:rFonts w:cstheme="majorHAnsi"/>
          <w:b/>
          <w:bCs/>
          <w:color w:val="000000" w:themeColor="text1"/>
          <w:sz w:val="28"/>
          <w:szCs w:val="28"/>
        </w:rPr>
      </w:pPr>
      <w:r w:rsidRPr="00E10B59">
        <w:rPr>
          <w:rFonts w:ascii="Arial" w:eastAsia="Times New Roman" w:hAnsi="Arial" w:cs="Arial"/>
          <w:lang w:eastAsia="en-AU"/>
        </w:rPr>
        <w:t>recognise and fund family and parent-led support networks</w:t>
      </w:r>
      <w:r w:rsidR="005D3324" w:rsidRPr="00E10B59">
        <w:rPr>
          <w:rFonts w:ascii="Arial" w:eastAsia="Times New Roman" w:hAnsi="Arial" w:cs="Arial"/>
          <w:lang w:eastAsia="en-AU"/>
        </w:rPr>
        <w:t xml:space="preserve"> </w:t>
      </w:r>
    </w:p>
    <w:p w14:paraId="68AA4068" w14:textId="47F9F88A" w:rsidR="002D7C67" w:rsidRPr="00796B13" w:rsidRDefault="002D7C67" w:rsidP="00844BFE">
      <w:pPr>
        <w:pStyle w:val="Heading4"/>
      </w:pPr>
      <w:r>
        <w:t>Policy Benefits</w:t>
      </w:r>
    </w:p>
    <w:p w14:paraId="6675BF6E" w14:textId="77777777" w:rsidR="002D7C67" w:rsidRPr="0041258B" w:rsidRDefault="002D7C67"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reduced social isolation and crisis demand</w:t>
      </w:r>
    </w:p>
    <w:p w14:paraId="3367303B" w14:textId="28D13D60" w:rsidR="00D228FA" w:rsidRDefault="00D228FA"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capacity of people with deafblindness and those who support them (including support workers and interpreters) through experiential learning</w:t>
      </w:r>
    </w:p>
    <w:p w14:paraId="4E3DBD25" w14:textId="458FA985" w:rsidR="002D7C67" w:rsidRPr="0041258B" w:rsidRDefault="002D7C67"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lower information and interpreting costs</w:t>
      </w:r>
    </w:p>
    <w:p w14:paraId="318E1AA5" w14:textId="77777777" w:rsidR="002D7C67" w:rsidRPr="0041258B" w:rsidRDefault="002D7C67"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improved policy design through community feedback</w:t>
      </w:r>
    </w:p>
    <w:p w14:paraId="33A0FC7E" w14:textId="77777777" w:rsidR="002D7C67" w:rsidRPr="0041258B" w:rsidRDefault="002D7C67"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stronger reform implementation</w:t>
      </w:r>
    </w:p>
    <w:p w14:paraId="42032B5D" w14:textId="77777777" w:rsidR="002D7C67" w:rsidRPr="0041258B" w:rsidRDefault="002D7C67" w:rsidP="00844BFE">
      <w:pPr>
        <w:numPr>
          <w:ilvl w:val="0"/>
          <w:numId w:val="41"/>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community participation and independence</w:t>
      </w:r>
    </w:p>
    <w:p w14:paraId="2FB7BF5D" w14:textId="76D3383E" w:rsidR="0026352C" w:rsidRDefault="002D7C67" w:rsidP="003476CB">
      <w:pPr>
        <w:spacing w:before="100" w:beforeAutospacing="1" w:after="100" w:afterAutospacing="1"/>
        <w:rPr>
          <w:rFonts w:ascii="Arial" w:eastAsia="Times New Roman" w:hAnsi="Arial" w:cs="Arial"/>
          <w:lang w:eastAsia="en-AU"/>
        </w:rPr>
      </w:pPr>
      <w:r>
        <w:rPr>
          <w:rFonts w:ascii="Arial" w:eastAsia="Times New Roman" w:hAnsi="Arial" w:cs="Arial"/>
          <w:lang w:eastAsia="en-AU"/>
        </w:rPr>
        <w:t>This represents preventative investment that reduces downstream expenditure.</w:t>
      </w:r>
    </w:p>
    <w:p w14:paraId="71522145" w14:textId="4F2F7A6A" w:rsidR="000A5A2A" w:rsidRDefault="000A5A2A">
      <w:pPr>
        <w:spacing w:after="0" w:line="240" w:lineRule="auto"/>
        <w:rPr>
          <w:rFonts w:ascii="Arial" w:eastAsia="Times New Roman" w:hAnsi="Arial" w:cs="Arial"/>
          <w:b/>
          <w:bCs/>
          <w:color w:val="000050" w:themeColor="accent1"/>
          <w:sz w:val="40"/>
          <w:szCs w:val="36"/>
          <w:lang w:eastAsia="en-AU"/>
        </w:rPr>
      </w:pPr>
      <w:r>
        <w:rPr>
          <w:rFonts w:ascii="Arial" w:eastAsia="Times New Roman" w:hAnsi="Arial" w:cs="Arial"/>
          <w:lang w:eastAsia="en-AU"/>
        </w:rPr>
        <w:br w:type="page"/>
      </w:r>
    </w:p>
    <w:p w14:paraId="7FA0D495" w14:textId="77777777" w:rsidR="00796B13" w:rsidRDefault="002D7C67" w:rsidP="00DB3579">
      <w:pPr>
        <w:pStyle w:val="Heading2"/>
        <w:spacing w:before="240" w:after="0"/>
        <w:rPr>
          <w:lang w:eastAsia="en-AU"/>
        </w:rPr>
      </w:pPr>
      <w:bookmarkStart w:id="16" w:name="_Toc233272898"/>
      <w:r>
        <w:rPr>
          <w:lang w:eastAsia="en-AU"/>
        </w:rPr>
        <w:lastRenderedPageBreak/>
        <w:t>5. Advocacy Priority Three:</w:t>
      </w:r>
      <w:bookmarkEnd w:id="16"/>
    </w:p>
    <w:p w14:paraId="37352D39" w14:textId="1A887297" w:rsidR="002D7C67" w:rsidRPr="0041258B" w:rsidRDefault="002D7C67" w:rsidP="00213F01">
      <w:pPr>
        <w:pStyle w:val="Heading2"/>
        <w:rPr>
          <w:lang w:eastAsia="en-AU"/>
        </w:rPr>
      </w:pPr>
      <w:bookmarkStart w:id="17" w:name="_Toc233272899"/>
      <w:r>
        <w:rPr>
          <w:lang w:eastAsia="en-AU"/>
        </w:rPr>
        <w:t>Awareness, Training, and Workforce Capability</w:t>
      </w:r>
      <w:bookmarkEnd w:id="17"/>
    </w:p>
    <w:p w14:paraId="0E14C6C4" w14:textId="77777777" w:rsidR="002D7C67" w:rsidRPr="0041258B" w:rsidRDefault="002D7C67" w:rsidP="00844BFE">
      <w:pPr>
        <w:pStyle w:val="Heading4"/>
        <w:rPr>
          <w:lang w:eastAsia="en-AU"/>
        </w:rPr>
      </w:pPr>
      <w:r>
        <w:rPr>
          <w:lang w:eastAsia="en-AU"/>
        </w:rPr>
        <w:t>Policy Problem</w:t>
      </w:r>
    </w:p>
    <w:p w14:paraId="4E1A05A0"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 Royal Commission into Violence, Abuse, Neglect and Exploitation of People with Disability identified widespread lack of professional understanding of deafblindness.</w:t>
      </w:r>
    </w:p>
    <w:p w14:paraId="57569C59"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Across disability, health, aged-care, and education systems:</w:t>
      </w:r>
    </w:p>
    <w:p w14:paraId="30B8D847" w14:textId="77777777" w:rsidR="002D7C67" w:rsidRPr="0041258B" w:rsidRDefault="002D7C67" w:rsidP="00844BFE">
      <w:pPr>
        <w:numPr>
          <w:ilvl w:val="0"/>
          <w:numId w:val="4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few professionals are trained to assess deafblindness</w:t>
      </w:r>
    </w:p>
    <w:p w14:paraId="3E4DDC62" w14:textId="77777777" w:rsidR="002D7C67" w:rsidRPr="0041258B" w:rsidRDefault="002D7C67" w:rsidP="00844BFE">
      <w:pPr>
        <w:numPr>
          <w:ilvl w:val="0"/>
          <w:numId w:val="4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services are frequently inappropriate or ineffective</w:t>
      </w:r>
    </w:p>
    <w:p w14:paraId="4C0C651B" w14:textId="77777777" w:rsidR="002D7C67" w:rsidRDefault="002D7C67" w:rsidP="00844BFE">
      <w:pPr>
        <w:numPr>
          <w:ilvl w:val="0"/>
          <w:numId w:val="4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individuals may receive inadequate or no support</w:t>
      </w:r>
    </w:p>
    <w:p w14:paraId="0C6C28A6" w14:textId="528BBD5A" w:rsidR="00366E16" w:rsidRPr="0041258B" w:rsidRDefault="00366E16" w:rsidP="00844BFE">
      <w:pPr>
        <w:numPr>
          <w:ilvl w:val="0"/>
          <w:numId w:val="42"/>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individuals may receive inappropriate assessment of behaviours or psychiatric issues</w:t>
      </w:r>
    </w:p>
    <w:p w14:paraId="2AAA036F" w14:textId="796A9110" w:rsidR="002D7C67" w:rsidRPr="0041258B" w:rsidRDefault="002D7C67" w:rsidP="00E95493">
      <w:pPr>
        <w:spacing w:before="100" w:beforeAutospacing="1" w:after="100" w:afterAutospacing="1"/>
        <w:rPr>
          <w:rFonts w:ascii="Arial" w:eastAsia="Times New Roman" w:hAnsi="Arial" w:cs="Arial"/>
          <w:lang w:eastAsia="en-AU"/>
        </w:rPr>
      </w:pPr>
      <w:r>
        <w:rPr>
          <w:rFonts w:ascii="Arial" w:eastAsia="Times New Roman" w:hAnsi="Arial" w:cs="Arial"/>
          <w:lang w:eastAsia="en-AU"/>
        </w:rPr>
        <w:t>This creates systemic risk, including safeguarding concerns.</w:t>
      </w:r>
    </w:p>
    <w:p w14:paraId="5752829A" w14:textId="77777777" w:rsidR="002D7C67" w:rsidRPr="0041258B" w:rsidRDefault="002D7C67" w:rsidP="00844BFE">
      <w:pPr>
        <w:pStyle w:val="Heading4"/>
        <w:rPr>
          <w:lang w:eastAsia="en-AU"/>
        </w:rPr>
      </w:pPr>
      <w:r>
        <w:rPr>
          <w:lang w:eastAsia="en-AU"/>
        </w:rPr>
        <w:t>Recommended Government Action</w:t>
      </w:r>
    </w:p>
    <w:p w14:paraId="13694084"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Government should:</w:t>
      </w:r>
    </w:p>
    <w:p w14:paraId="47DCB104" w14:textId="58C04583" w:rsidR="002D7C67" w:rsidRDefault="002D7C67" w:rsidP="00844BFE">
      <w:pPr>
        <w:numPr>
          <w:ilvl w:val="0"/>
          <w:numId w:val="4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invest in national training programs for relevant workforces which differentiates levels to target</w:t>
      </w:r>
    </w:p>
    <w:p w14:paraId="0B33BB3F" w14:textId="77777777" w:rsidR="009C2E6F" w:rsidRDefault="009C2E6F" w:rsidP="00E32752">
      <w:pPr>
        <w:numPr>
          <w:ilvl w:val="1"/>
          <w:numId w:val="43"/>
        </w:numPr>
        <w:spacing w:after="0"/>
        <w:rPr>
          <w:rFonts w:ascii="Arial" w:eastAsia="Times New Roman" w:hAnsi="Arial" w:cs="Arial"/>
          <w:lang w:eastAsia="en-AU"/>
        </w:rPr>
      </w:pPr>
      <w:r>
        <w:rPr>
          <w:rFonts w:ascii="Arial" w:eastAsia="Times New Roman" w:hAnsi="Arial" w:cs="Arial"/>
          <w:lang w:eastAsia="en-AU"/>
        </w:rPr>
        <w:t xml:space="preserve">awareness raising, </w:t>
      </w:r>
    </w:p>
    <w:p w14:paraId="5AA31B01" w14:textId="77777777" w:rsidR="009C2E6F" w:rsidRDefault="009C2E6F" w:rsidP="00E32752">
      <w:pPr>
        <w:numPr>
          <w:ilvl w:val="1"/>
          <w:numId w:val="43"/>
        </w:numPr>
        <w:spacing w:after="0"/>
        <w:rPr>
          <w:rFonts w:ascii="Arial" w:eastAsia="Times New Roman" w:hAnsi="Arial" w:cs="Arial"/>
          <w:lang w:eastAsia="en-AU"/>
        </w:rPr>
      </w:pPr>
      <w:r>
        <w:rPr>
          <w:rFonts w:ascii="Arial" w:eastAsia="Times New Roman" w:hAnsi="Arial" w:cs="Arial"/>
          <w:lang w:eastAsia="en-AU"/>
        </w:rPr>
        <w:t xml:space="preserve">effective needs assessment, and </w:t>
      </w:r>
    </w:p>
    <w:p w14:paraId="61E4378B" w14:textId="5DE72E63" w:rsidR="009C2E6F" w:rsidRPr="009C2E6F" w:rsidRDefault="009C2E6F" w:rsidP="00E32752">
      <w:pPr>
        <w:numPr>
          <w:ilvl w:val="1"/>
          <w:numId w:val="43"/>
        </w:numPr>
        <w:spacing w:after="0"/>
        <w:rPr>
          <w:rFonts w:ascii="Arial" w:eastAsia="Times New Roman" w:hAnsi="Arial" w:cs="Arial"/>
          <w:lang w:eastAsia="en-AU"/>
        </w:rPr>
      </w:pPr>
      <w:r>
        <w:rPr>
          <w:rFonts w:ascii="Arial" w:eastAsia="Times New Roman" w:hAnsi="Arial" w:cs="Arial"/>
          <w:lang w:eastAsia="en-AU"/>
        </w:rPr>
        <w:t>recommendation and provision of support services, including, interpreter, support worker/Comm Guide and allied health support</w:t>
      </w:r>
    </w:p>
    <w:p w14:paraId="61E4378D" w14:textId="082563FF" w:rsidR="009C2E6F" w:rsidRPr="004016AF" w:rsidRDefault="009C2E6F" w:rsidP="004016AF">
      <w:pPr>
        <w:numPr>
          <w:ilvl w:val="1"/>
          <w:numId w:val="43"/>
        </w:numPr>
        <w:spacing w:after="0"/>
        <w:rPr>
          <w:rFonts w:ascii="Arial" w:eastAsia="Times New Roman" w:hAnsi="Arial" w:cs="Arial"/>
          <w:lang w:eastAsia="en-AU"/>
        </w:rPr>
      </w:pPr>
      <w:r>
        <w:rPr>
          <w:rFonts w:ascii="Arial" w:eastAsia="Times New Roman" w:hAnsi="Arial" w:cs="Arial"/>
          <w:lang w:eastAsia="en-AU"/>
        </w:rPr>
        <w:t xml:space="preserve">training </w:t>
      </w:r>
      <w:r w:rsidR="004016AF">
        <w:rPr>
          <w:rFonts w:ascii="Arial" w:eastAsia="Times New Roman" w:hAnsi="Arial" w:cs="Arial"/>
          <w:lang w:eastAsia="en-AU"/>
        </w:rPr>
        <w:t>on complex</w:t>
      </w:r>
      <w:r>
        <w:rPr>
          <w:rFonts w:ascii="Arial" w:eastAsia="Times New Roman" w:hAnsi="Arial" w:cs="Arial"/>
          <w:lang w:eastAsia="en-AU"/>
        </w:rPr>
        <w:t xml:space="preserve"> presentations </w:t>
      </w:r>
    </w:p>
    <w:p w14:paraId="61E4378E" w14:textId="4570FA0F" w:rsidR="009C2E6F" w:rsidRPr="009C2E6F" w:rsidRDefault="009C2E6F" w:rsidP="00E32752">
      <w:pPr>
        <w:numPr>
          <w:ilvl w:val="1"/>
          <w:numId w:val="43"/>
        </w:numPr>
        <w:spacing w:after="0"/>
        <w:rPr>
          <w:rFonts w:ascii="Arial" w:eastAsia="Times New Roman" w:hAnsi="Arial" w:cs="Arial"/>
          <w:lang w:eastAsia="en-AU"/>
        </w:rPr>
      </w:pPr>
      <w:r>
        <w:rPr>
          <w:rFonts w:ascii="Arial" w:eastAsia="Times New Roman" w:hAnsi="Arial" w:cs="Arial"/>
          <w:lang w:eastAsia="en-AU"/>
        </w:rPr>
        <w:t>early intervention for children with congenital deafblindness</w:t>
      </w:r>
    </w:p>
    <w:p w14:paraId="787FAE9B" w14:textId="77777777" w:rsidR="002D7C67" w:rsidRPr="0041258B" w:rsidRDefault="002D7C67" w:rsidP="00844BFE">
      <w:pPr>
        <w:numPr>
          <w:ilvl w:val="0"/>
          <w:numId w:val="4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support development of specialist training resources</w:t>
      </w:r>
    </w:p>
    <w:p w14:paraId="555A6D70" w14:textId="42B040DB" w:rsidR="002D7C67" w:rsidRPr="0041258B" w:rsidRDefault="002D7C67" w:rsidP="00844BFE">
      <w:pPr>
        <w:numPr>
          <w:ilvl w:val="0"/>
          <w:numId w:val="4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target</w:t>
      </w:r>
      <w:r w:rsidR="00B43A5C">
        <w:rPr>
          <w:rFonts w:ascii="Arial" w:eastAsia="Times New Roman" w:hAnsi="Arial" w:cs="Arial"/>
          <w:lang w:eastAsia="en-AU"/>
        </w:rPr>
        <w:t>ed</w:t>
      </w:r>
      <w:r>
        <w:rPr>
          <w:rFonts w:ascii="Arial" w:eastAsia="Times New Roman" w:hAnsi="Arial" w:cs="Arial"/>
          <w:lang w:eastAsia="en-AU"/>
        </w:rPr>
        <w:t xml:space="preserve"> training using improved national data</w:t>
      </w:r>
    </w:p>
    <w:p w14:paraId="766364F3" w14:textId="46995D16" w:rsidR="002D7C67" w:rsidRPr="003476CB" w:rsidRDefault="002D7C67" w:rsidP="00E95493">
      <w:pPr>
        <w:numPr>
          <w:ilvl w:val="0"/>
          <w:numId w:val="43"/>
        </w:numPr>
        <w:spacing w:before="100" w:beforeAutospacing="1" w:after="100" w:afterAutospacing="1"/>
        <w:rPr>
          <w:rFonts w:ascii="Arial" w:eastAsia="Times New Roman" w:hAnsi="Arial" w:cs="Arial"/>
          <w:lang w:eastAsia="en-AU"/>
        </w:rPr>
      </w:pPr>
      <w:r>
        <w:rPr>
          <w:rFonts w:ascii="Arial" w:eastAsia="Times New Roman" w:hAnsi="Arial" w:cs="Arial"/>
          <w:lang w:eastAsia="en-AU"/>
        </w:rPr>
        <w:t xml:space="preserve">partner with deafblind-led organisations to deliver training and experiential learning opportunities </w:t>
      </w:r>
    </w:p>
    <w:p w14:paraId="617DDC0A" w14:textId="77777777" w:rsidR="000A5A2A" w:rsidRDefault="000A5A2A" w:rsidP="00111D99">
      <w:pPr>
        <w:pStyle w:val="Heading4"/>
        <w:rPr>
          <w:lang w:eastAsia="en-AU"/>
        </w:rPr>
      </w:pPr>
    </w:p>
    <w:p w14:paraId="5E24C1A0" w14:textId="05A9E333" w:rsidR="002D7C67" w:rsidRPr="00111D99" w:rsidRDefault="002D7C67" w:rsidP="00111D99">
      <w:pPr>
        <w:pStyle w:val="Heading4"/>
        <w:rPr>
          <w:lang w:eastAsia="en-AU"/>
        </w:rPr>
      </w:pPr>
      <w:r>
        <w:rPr>
          <w:lang w:eastAsia="en-AU"/>
        </w:rPr>
        <w:lastRenderedPageBreak/>
        <w:t>Policy Benefits</w:t>
      </w:r>
    </w:p>
    <w:p w14:paraId="43250100" w14:textId="77777777" w:rsidR="002D7C67" w:rsidRPr="0041258B" w:rsidRDefault="002D7C67" w:rsidP="00844BFE">
      <w:pPr>
        <w:numPr>
          <w:ilvl w:val="0"/>
          <w:numId w:val="4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improved service quality and effectiveness</w:t>
      </w:r>
    </w:p>
    <w:p w14:paraId="7DA429B9" w14:textId="77777777" w:rsidR="002D7C67" w:rsidRPr="0041258B" w:rsidRDefault="002D7C67" w:rsidP="00844BFE">
      <w:pPr>
        <w:numPr>
          <w:ilvl w:val="0"/>
          <w:numId w:val="4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reduced safeguarding risk</w:t>
      </w:r>
    </w:p>
    <w:p w14:paraId="1DE19E69" w14:textId="3FF932F4" w:rsidR="002D7C67" w:rsidRPr="0041258B" w:rsidRDefault="002D7C67" w:rsidP="00844BFE">
      <w:pPr>
        <w:numPr>
          <w:ilvl w:val="0"/>
          <w:numId w:val="4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greater independence for individuals</w:t>
      </w:r>
    </w:p>
    <w:p w14:paraId="7386F3E3" w14:textId="77777777" w:rsidR="002D7C67" w:rsidRPr="0041258B" w:rsidRDefault="002D7C67" w:rsidP="00844BFE">
      <w:pPr>
        <w:numPr>
          <w:ilvl w:val="0"/>
          <w:numId w:val="4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reduced long-term service costs</w:t>
      </w:r>
    </w:p>
    <w:p w14:paraId="1B475230" w14:textId="77777777" w:rsidR="002D7C67" w:rsidRDefault="002D7C67" w:rsidP="00844BFE">
      <w:pPr>
        <w:numPr>
          <w:ilvl w:val="0"/>
          <w:numId w:val="44"/>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increased workforce capability across sectors</w:t>
      </w:r>
    </w:p>
    <w:p w14:paraId="2EB4B034" w14:textId="67AC8C4D" w:rsidR="00205CAC" w:rsidRDefault="006D1DA6" w:rsidP="00DB3579">
      <w:pPr>
        <w:numPr>
          <w:ilvl w:val="0"/>
          <w:numId w:val="44"/>
        </w:numPr>
        <w:spacing w:before="100" w:beforeAutospacing="1" w:after="100" w:afterAutospacing="1" w:line="240" w:lineRule="auto"/>
        <w:rPr>
          <w:lang w:eastAsia="en-AU"/>
        </w:rPr>
      </w:pPr>
      <w:r>
        <w:rPr>
          <w:rFonts w:ascii="Arial" w:eastAsia="Times New Roman" w:hAnsi="Arial" w:cs="Arial"/>
          <w:lang w:eastAsia="en-AU"/>
        </w:rPr>
        <w:t>reduced systematic trauma</w:t>
      </w:r>
    </w:p>
    <w:p w14:paraId="2934F15E" w14:textId="4127CB72" w:rsidR="002D7C67" w:rsidRPr="0041258B" w:rsidRDefault="002D7C67" w:rsidP="00213F01">
      <w:pPr>
        <w:pStyle w:val="Heading2"/>
        <w:spacing w:before="240"/>
        <w:rPr>
          <w:lang w:eastAsia="en-AU"/>
        </w:rPr>
      </w:pPr>
      <w:bookmarkStart w:id="18" w:name="_Toc233272900"/>
      <w:r>
        <w:rPr>
          <w:lang w:eastAsia="en-AU"/>
        </w:rPr>
        <w:t>6. Implementation Considerations</w:t>
      </w:r>
      <w:bookmarkEnd w:id="18"/>
    </w:p>
    <w:p w14:paraId="6F1C635C"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The three priorities are mutually reinforcing:</w:t>
      </w:r>
    </w:p>
    <w:p w14:paraId="2F1CB3D0" w14:textId="29F2FE6B" w:rsidR="002D7C67" w:rsidRPr="0041258B" w:rsidRDefault="002D7C67" w:rsidP="00844BFE">
      <w:pPr>
        <w:numPr>
          <w:ilvl w:val="0"/>
          <w:numId w:val="45"/>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Data and identification</w:t>
      </w:r>
      <w:r>
        <w:rPr>
          <w:rFonts w:ascii="Arial" w:eastAsia="Times New Roman" w:hAnsi="Arial" w:cs="Arial"/>
          <w:lang w:eastAsia="en-AU"/>
        </w:rPr>
        <w:t xml:space="preserve"> enable targeted training and funding decisions.</w:t>
      </w:r>
    </w:p>
    <w:p w14:paraId="7B2B01E9" w14:textId="77777777" w:rsidR="002D7C67" w:rsidRPr="0041258B" w:rsidRDefault="002D7C67" w:rsidP="00844BFE">
      <w:pPr>
        <w:numPr>
          <w:ilvl w:val="0"/>
          <w:numId w:val="45"/>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Community infrastructure</w:t>
      </w:r>
      <w:r>
        <w:rPr>
          <w:rFonts w:ascii="Arial" w:eastAsia="Times New Roman" w:hAnsi="Arial" w:cs="Arial"/>
          <w:lang w:eastAsia="en-AU"/>
        </w:rPr>
        <w:t xml:space="preserve"> supports effective implementation.</w:t>
      </w:r>
    </w:p>
    <w:p w14:paraId="3BF52F32" w14:textId="77777777" w:rsidR="002D7C67" w:rsidRPr="0041258B" w:rsidRDefault="002D7C67" w:rsidP="00844BFE">
      <w:pPr>
        <w:numPr>
          <w:ilvl w:val="0"/>
          <w:numId w:val="45"/>
        </w:numPr>
        <w:spacing w:before="100" w:beforeAutospacing="1" w:after="100" w:afterAutospacing="1"/>
        <w:rPr>
          <w:rFonts w:ascii="Arial" w:eastAsia="Times New Roman" w:hAnsi="Arial" w:cs="Arial"/>
          <w:lang w:eastAsia="en-AU"/>
        </w:rPr>
      </w:pPr>
      <w:r>
        <w:rPr>
          <w:rFonts w:ascii="Arial" w:eastAsia="Times New Roman" w:hAnsi="Arial" w:cs="Arial"/>
          <w:b/>
          <w:bCs/>
          <w:lang w:eastAsia="en-AU"/>
        </w:rPr>
        <w:t>Workforce capability</w:t>
      </w:r>
      <w:r>
        <w:rPr>
          <w:rFonts w:ascii="Arial" w:eastAsia="Times New Roman" w:hAnsi="Arial" w:cs="Arial"/>
          <w:lang w:eastAsia="en-AU"/>
        </w:rPr>
        <w:t xml:space="preserve"> ensures service quality.</w:t>
      </w:r>
    </w:p>
    <w:p w14:paraId="2BB05893" w14:textId="599AF60A" w:rsidR="00213F01" w:rsidRDefault="002D7C67" w:rsidP="00DB3579">
      <w:pPr>
        <w:spacing w:before="100" w:beforeAutospacing="1" w:after="100" w:afterAutospacing="1"/>
        <w:rPr>
          <w:rFonts w:cstheme="majorHAnsi"/>
          <w:b/>
          <w:bCs/>
          <w:color w:val="000050" w:themeColor="accent1"/>
          <w:sz w:val="40"/>
          <w:szCs w:val="36"/>
        </w:rPr>
      </w:pPr>
      <w:r>
        <w:rPr>
          <w:rFonts w:ascii="Arial" w:eastAsia="Times New Roman" w:hAnsi="Arial" w:cs="Arial"/>
          <w:lang w:eastAsia="en-AU"/>
        </w:rPr>
        <w:t>Coordinated implementation will maximise policy impact and cost-effectiveness.</w:t>
      </w:r>
    </w:p>
    <w:p w14:paraId="256DEBE9" w14:textId="423CA5C5" w:rsidR="002D7C67" w:rsidRPr="00213F01" w:rsidRDefault="002D7C67" w:rsidP="00213F01">
      <w:pPr>
        <w:pStyle w:val="Heading2"/>
      </w:pPr>
      <w:bookmarkStart w:id="19" w:name="_Toc233272901"/>
      <w:r>
        <w:t>7. Conclusion: A Strategic Opportunity for Government</w:t>
      </w:r>
      <w:bookmarkEnd w:id="19"/>
    </w:p>
    <w:p w14:paraId="05001DDE"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Australians with deafblindness face preventable barriers created by system gaps rather than individual limitations.</w:t>
      </w:r>
    </w:p>
    <w:p w14:paraId="7086876A"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Addressing these gaps will:</w:t>
      </w:r>
    </w:p>
    <w:p w14:paraId="7405EF6E" w14:textId="77777777" w:rsidR="002D7C67" w:rsidRPr="0041258B" w:rsidRDefault="002D7C67" w:rsidP="00844BFE">
      <w:pPr>
        <w:numPr>
          <w:ilvl w:val="0"/>
          <w:numId w:val="4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strengthen national disability reform outcomes</w:t>
      </w:r>
    </w:p>
    <w:p w14:paraId="22BF4DF7" w14:textId="77777777" w:rsidR="002D7C67" w:rsidRPr="0041258B" w:rsidRDefault="002D7C67" w:rsidP="00844BFE">
      <w:pPr>
        <w:numPr>
          <w:ilvl w:val="0"/>
          <w:numId w:val="4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improve service efficiency</w:t>
      </w:r>
    </w:p>
    <w:p w14:paraId="201ED213" w14:textId="77777777" w:rsidR="002D7C67" w:rsidRPr="0041258B" w:rsidRDefault="002D7C67" w:rsidP="00844BFE">
      <w:pPr>
        <w:numPr>
          <w:ilvl w:val="0"/>
          <w:numId w:val="4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reduce long-term expenditure</w:t>
      </w:r>
    </w:p>
    <w:p w14:paraId="596DF878" w14:textId="77777777" w:rsidR="002D7C67" w:rsidRPr="0041258B" w:rsidRDefault="002D7C67" w:rsidP="00844BFE">
      <w:pPr>
        <w:numPr>
          <w:ilvl w:val="0"/>
          <w:numId w:val="4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enhance safeguarding</w:t>
      </w:r>
    </w:p>
    <w:p w14:paraId="5D7172AD" w14:textId="59232EF9" w:rsidR="00A824DE" w:rsidRPr="0041258B" w:rsidRDefault="002D7C67" w:rsidP="00844BFE">
      <w:pPr>
        <w:numPr>
          <w:ilvl w:val="0"/>
          <w:numId w:val="46"/>
        </w:numPr>
        <w:spacing w:before="100" w:beforeAutospacing="1" w:after="100" w:afterAutospacing="1"/>
        <w:rPr>
          <w:rFonts w:ascii="Arial" w:eastAsia="Times New Roman" w:hAnsi="Arial" w:cs="Arial"/>
          <w:lang w:eastAsia="en-AU"/>
        </w:rPr>
      </w:pPr>
      <w:r>
        <w:rPr>
          <w:rFonts w:ascii="Arial" w:eastAsia="Times New Roman" w:hAnsi="Arial" w:cs="Arial"/>
          <w:lang w:eastAsia="en-AU"/>
        </w:rPr>
        <w:t>promote equitable participation</w:t>
      </w:r>
    </w:p>
    <w:p w14:paraId="7ADCB048" w14:textId="77777777" w:rsidR="002D7C67" w:rsidRPr="0041258B" w:rsidRDefault="002D7C67" w:rsidP="00844BFE">
      <w:pPr>
        <w:spacing w:before="100" w:beforeAutospacing="1" w:after="100" w:afterAutospacing="1"/>
        <w:rPr>
          <w:rFonts w:ascii="Arial" w:eastAsia="Times New Roman" w:hAnsi="Arial" w:cs="Arial"/>
          <w:lang w:eastAsia="en-AU"/>
        </w:rPr>
      </w:pPr>
      <w:r>
        <w:rPr>
          <w:rFonts w:ascii="Arial" w:eastAsia="Times New Roman" w:hAnsi="Arial" w:cs="Arial"/>
          <w:lang w:eastAsia="en-AU"/>
        </w:rPr>
        <w:t>Targeted investment in data, community infrastructure, and workforce capability represents a practical and cost-effective policy response that aligns with national reform priorities.</w:t>
      </w:r>
    </w:p>
    <w:p w14:paraId="1FC93B56" w14:textId="070E6889" w:rsidR="00E95493" w:rsidDel="00C611C3" w:rsidRDefault="002D7C67" w:rsidP="00491818">
      <w:pPr>
        <w:rPr>
          <w:rStyle w:val="IntenseEmphasis"/>
        </w:rPr>
      </w:pPr>
      <w:r>
        <w:rPr>
          <w:rFonts w:ascii="Arial" w:eastAsia="Times New Roman" w:hAnsi="Arial" w:cs="Arial"/>
          <w:lang w:eastAsia="en-AU"/>
        </w:rPr>
        <w:lastRenderedPageBreak/>
        <w:t>The opportunity now exists for government leadership to ensure that disability reforms deliver equitable outcomes for all Australians.</w:t>
      </w:r>
    </w:p>
    <w:p w14:paraId="46F82359" w14:textId="21655839" w:rsidR="00407D48" w:rsidRPr="00063352" w:rsidRDefault="00981694" w:rsidP="00491818">
      <w:pPr>
        <w:rPr>
          <w:rStyle w:val="IntenseEmphasis"/>
          <w:sz w:val="40"/>
          <w:szCs w:val="32"/>
        </w:rPr>
      </w:pPr>
      <w:r w:rsidRPr="00063352">
        <w:rPr>
          <w:rStyle w:val="IntenseEmphasis"/>
          <w:sz w:val="40"/>
          <w:szCs w:val="32"/>
        </w:rPr>
        <w:t>Supported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E436B" w14:paraId="074CFE08" w14:textId="77777777" w:rsidTr="00794A96">
        <w:tc>
          <w:tcPr>
            <w:tcW w:w="3005" w:type="dxa"/>
          </w:tcPr>
          <w:p w14:paraId="440AE540" w14:textId="4ACFDCF7" w:rsidR="002E436B" w:rsidRDefault="00722C31" w:rsidP="009C75BD">
            <w:r>
              <w:rPr>
                <w:rFonts w:ascii="Arial" w:hAnsi="Arial"/>
                <w:b/>
                <w:iCs/>
                <w:noProof/>
                <w:color w:val="000050" w:themeColor="accent1"/>
                <w:sz w:val="40"/>
                <w:szCs w:val="40"/>
              </w:rPr>
              <w:drawing>
                <wp:anchor distT="0" distB="0" distL="114300" distR="114300" simplePos="0" relativeHeight="251660290" behindDoc="0" locked="0" layoutInCell="1" allowOverlap="1" wp14:anchorId="235CD928" wp14:editId="59302A4B">
                  <wp:simplePos x="0" y="0"/>
                  <wp:positionH relativeFrom="margin">
                    <wp:align>center</wp:align>
                  </wp:positionH>
                  <wp:positionV relativeFrom="margin">
                    <wp:align>top</wp:align>
                  </wp:positionV>
                  <wp:extent cx="1515110" cy="899795"/>
                  <wp:effectExtent l="0" t="0" r="0" b="0"/>
                  <wp:wrapSquare wrapText="bothSides"/>
                  <wp:docPr id="616093772" name="Picture 1" descr="Abl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93772" name="Picture 1" descr="Able Australia"/>
                          <pic:cNvPicPr/>
                        </pic:nvPicPr>
                        <pic:blipFill>
                          <a:blip r:embed="rId15">
                            <a:extLst>
                              <a:ext uri="{28A0092B-C50C-407E-A947-70E740481C1C}">
                                <a14:useLocalDpi xmlns:a14="http://schemas.microsoft.com/office/drawing/2010/main" val="0"/>
                              </a:ext>
                            </a:extLst>
                          </a:blip>
                          <a:stretch>
                            <a:fillRect/>
                          </a:stretch>
                        </pic:blipFill>
                        <pic:spPr>
                          <a:xfrm>
                            <a:off x="0" y="0"/>
                            <a:ext cx="1515110" cy="899795"/>
                          </a:xfrm>
                          <a:prstGeom prst="rect">
                            <a:avLst/>
                          </a:prstGeom>
                        </pic:spPr>
                      </pic:pic>
                    </a:graphicData>
                  </a:graphic>
                </wp:anchor>
              </w:drawing>
            </w:r>
          </w:p>
        </w:tc>
        <w:tc>
          <w:tcPr>
            <w:tcW w:w="3005" w:type="dxa"/>
          </w:tcPr>
          <w:p w14:paraId="7109A78E" w14:textId="36D7A9EA" w:rsidR="002E436B" w:rsidRDefault="009437C1" w:rsidP="002E436B">
            <w:pPr>
              <w:jc w:val="center"/>
            </w:pPr>
            <w:r>
              <w:rPr>
                <w:rFonts w:ascii="Arial" w:hAnsi="Arial"/>
                <w:b/>
                <w:iCs/>
                <w:noProof/>
                <w:color w:val="000050" w:themeColor="accent1"/>
                <w:sz w:val="40"/>
                <w:szCs w:val="40"/>
              </w:rPr>
              <w:drawing>
                <wp:anchor distT="0" distB="0" distL="114300" distR="114300" simplePos="0" relativeHeight="251662338" behindDoc="0" locked="0" layoutInCell="1" allowOverlap="1" wp14:anchorId="0A9E3ADF" wp14:editId="471EFDE3">
                  <wp:simplePos x="0" y="0"/>
                  <wp:positionH relativeFrom="margin">
                    <wp:align>center</wp:align>
                  </wp:positionH>
                  <wp:positionV relativeFrom="margin">
                    <wp:align>top</wp:align>
                  </wp:positionV>
                  <wp:extent cx="914400" cy="900000"/>
                  <wp:effectExtent l="0" t="0" r="0" b="1905"/>
                  <wp:wrapSquare wrapText="bothSides"/>
                  <wp:docPr id="1120290117" name="Picture 4" descr="Auro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0117" name="Picture 4" descr="Aurora School"/>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00000"/>
                          </a:xfrm>
                          <a:prstGeom prst="rect">
                            <a:avLst/>
                          </a:prstGeom>
                        </pic:spPr>
                      </pic:pic>
                    </a:graphicData>
                  </a:graphic>
                </wp:anchor>
              </w:drawing>
            </w:r>
          </w:p>
        </w:tc>
        <w:tc>
          <w:tcPr>
            <w:tcW w:w="3006" w:type="dxa"/>
          </w:tcPr>
          <w:p w14:paraId="1A6DF497" w14:textId="0F2374CF" w:rsidR="002E436B" w:rsidRDefault="00DF5FB5" w:rsidP="002E436B">
            <w:pPr>
              <w:jc w:val="center"/>
            </w:pPr>
            <w:r>
              <w:rPr>
                <w:rFonts w:ascii="Arial" w:hAnsi="Arial"/>
                <w:b/>
                <w:iCs/>
                <w:noProof/>
                <w:color w:val="000050" w:themeColor="accent1"/>
                <w:sz w:val="40"/>
                <w:szCs w:val="40"/>
              </w:rPr>
              <w:drawing>
                <wp:anchor distT="0" distB="0" distL="114300" distR="114300" simplePos="0" relativeHeight="251664386" behindDoc="0" locked="0" layoutInCell="1" allowOverlap="1" wp14:anchorId="5E44E0B8" wp14:editId="2160C6B5">
                  <wp:simplePos x="0" y="0"/>
                  <wp:positionH relativeFrom="margin">
                    <wp:posOffset>128270</wp:posOffset>
                  </wp:positionH>
                  <wp:positionV relativeFrom="margin">
                    <wp:posOffset>221267</wp:posOffset>
                  </wp:positionV>
                  <wp:extent cx="1514475" cy="678180"/>
                  <wp:effectExtent l="0" t="0" r="0" b="0"/>
                  <wp:wrapSquare wrapText="bothSides"/>
                  <wp:docPr id="1604724192" name="Picture 2" descr="CHARGE Syndrom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24192" name="Picture 2" descr="CHARGE Syndrom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4475" cy="678180"/>
                          </a:xfrm>
                          <a:prstGeom prst="rect">
                            <a:avLst/>
                          </a:prstGeom>
                        </pic:spPr>
                      </pic:pic>
                    </a:graphicData>
                  </a:graphic>
                  <wp14:sizeRelH relativeFrom="margin">
                    <wp14:pctWidth>0</wp14:pctWidth>
                  </wp14:sizeRelH>
                  <wp14:sizeRelV relativeFrom="margin">
                    <wp14:pctHeight>0</wp14:pctHeight>
                  </wp14:sizeRelV>
                </wp:anchor>
              </w:drawing>
            </w:r>
          </w:p>
        </w:tc>
      </w:tr>
      <w:tr w:rsidR="002E436B" w14:paraId="32F52F23" w14:textId="77777777" w:rsidTr="00794A96">
        <w:tc>
          <w:tcPr>
            <w:tcW w:w="3005" w:type="dxa"/>
          </w:tcPr>
          <w:p w14:paraId="2FBA1CB9" w14:textId="2047530A" w:rsidR="002E436B" w:rsidRDefault="00331D9B" w:rsidP="002E436B">
            <w:pPr>
              <w:jc w:val="center"/>
            </w:pPr>
            <w:r>
              <w:rPr>
                <w:rFonts w:ascii="Arial" w:hAnsi="Arial"/>
                <w:b/>
                <w:iCs/>
                <w:noProof/>
                <w:color w:val="000050" w:themeColor="accent1"/>
                <w:sz w:val="40"/>
                <w:szCs w:val="40"/>
              </w:rPr>
              <w:drawing>
                <wp:inline distT="0" distB="0" distL="0" distR="0" wp14:anchorId="6B495769" wp14:editId="77AB3A7F">
                  <wp:extent cx="1249200" cy="900000"/>
                  <wp:effectExtent l="0" t="0" r="0" b="0"/>
                  <wp:docPr id="127811285" name="Picture 3" descr="Deafblind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285" name="Picture 3" descr="Deafblind Australia"/>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9200" cy="900000"/>
                          </a:xfrm>
                          <a:prstGeom prst="rect">
                            <a:avLst/>
                          </a:prstGeom>
                        </pic:spPr>
                      </pic:pic>
                    </a:graphicData>
                  </a:graphic>
                </wp:inline>
              </w:drawing>
            </w:r>
          </w:p>
        </w:tc>
        <w:tc>
          <w:tcPr>
            <w:tcW w:w="3005" w:type="dxa"/>
          </w:tcPr>
          <w:p w14:paraId="11ECB84E" w14:textId="34860EFF" w:rsidR="002E436B" w:rsidRDefault="00C216E4" w:rsidP="002E436B">
            <w:pPr>
              <w:jc w:val="center"/>
            </w:pPr>
            <w:r>
              <w:rPr>
                <w:rFonts w:ascii="Arial" w:hAnsi="Arial"/>
                <w:b/>
                <w:iCs/>
                <w:noProof/>
                <w:color w:val="000050" w:themeColor="accent1"/>
                <w:sz w:val="40"/>
                <w:szCs w:val="40"/>
              </w:rPr>
              <w:drawing>
                <wp:inline distT="0" distB="0" distL="0" distR="0" wp14:anchorId="15FA123F" wp14:editId="2D868717">
                  <wp:extent cx="1180800" cy="900000"/>
                  <wp:effectExtent l="0" t="0" r="635" b="1905"/>
                  <wp:docPr id="721767146" name="Picture 4" descr="Deafblind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67146" name="Picture 4" descr="Deafblind Victori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0800" cy="900000"/>
                          </a:xfrm>
                          <a:prstGeom prst="rect">
                            <a:avLst/>
                          </a:prstGeom>
                        </pic:spPr>
                      </pic:pic>
                    </a:graphicData>
                  </a:graphic>
                </wp:inline>
              </w:drawing>
            </w:r>
          </w:p>
        </w:tc>
        <w:tc>
          <w:tcPr>
            <w:tcW w:w="3006" w:type="dxa"/>
          </w:tcPr>
          <w:p w14:paraId="41674CAC" w14:textId="13951BA6" w:rsidR="002E436B" w:rsidRDefault="005D4979" w:rsidP="002E436B">
            <w:pPr>
              <w:jc w:val="center"/>
            </w:pPr>
            <w:r>
              <w:rPr>
                <w:rFonts w:ascii="Arial" w:hAnsi="Arial"/>
                <w:b/>
                <w:iCs/>
                <w:noProof/>
                <w:color w:val="000050" w:themeColor="accent1"/>
                <w:sz w:val="40"/>
                <w:szCs w:val="40"/>
              </w:rPr>
              <w:drawing>
                <wp:inline distT="0" distB="0" distL="0" distR="0" wp14:anchorId="5A525FA2" wp14:editId="252BA9C3">
                  <wp:extent cx="1245600" cy="900000"/>
                  <wp:effectExtent l="0" t="0" r="0" b="0"/>
                  <wp:docPr id="1088740473" name="Picture 6" descr="Deafblind West Austra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40473" name="Picture 6" descr="Deafblind West Australian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5600" cy="900000"/>
                          </a:xfrm>
                          <a:prstGeom prst="rect">
                            <a:avLst/>
                          </a:prstGeom>
                        </pic:spPr>
                      </pic:pic>
                    </a:graphicData>
                  </a:graphic>
                </wp:inline>
              </w:drawing>
            </w:r>
          </w:p>
        </w:tc>
      </w:tr>
      <w:tr w:rsidR="002E436B" w14:paraId="531BF985" w14:textId="77777777" w:rsidTr="00794A96">
        <w:tc>
          <w:tcPr>
            <w:tcW w:w="3005" w:type="dxa"/>
          </w:tcPr>
          <w:p w14:paraId="031E2497" w14:textId="2A1C0846" w:rsidR="002E436B" w:rsidRDefault="006440A0" w:rsidP="002E436B">
            <w:pPr>
              <w:jc w:val="center"/>
            </w:pPr>
            <w:r>
              <w:rPr>
                <w:rFonts w:ascii="Arial" w:hAnsi="Arial"/>
                <w:b/>
                <w:iCs/>
                <w:noProof/>
                <w:color w:val="000050" w:themeColor="accent1"/>
                <w:sz w:val="40"/>
                <w:szCs w:val="40"/>
              </w:rPr>
              <w:drawing>
                <wp:inline distT="0" distB="0" distL="0" distR="0" wp14:anchorId="1076311C" wp14:editId="2146C42F">
                  <wp:extent cx="900000" cy="900000"/>
                  <wp:effectExtent l="0" t="0" r="1905" b="1905"/>
                  <wp:docPr id="752637893" name="Picture 1" descr="New South Wales Deafblind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37893" name="Picture 1" descr="New South Wales Deafblind Communit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3005" w:type="dxa"/>
          </w:tcPr>
          <w:p w14:paraId="366E6449" w14:textId="684B7CFD" w:rsidR="002E436B" w:rsidRDefault="0000437F" w:rsidP="002E436B">
            <w:pPr>
              <w:jc w:val="center"/>
            </w:pPr>
            <w:r>
              <w:rPr>
                <w:rFonts w:ascii="Arial" w:hAnsi="Arial"/>
                <w:b/>
                <w:iCs/>
                <w:noProof/>
                <w:color w:val="000050" w:themeColor="accent1"/>
                <w:sz w:val="40"/>
                <w:szCs w:val="40"/>
              </w:rPr>
              <w:drawing>
                <wp:inline distT="0" distB="0" distL="0" distR="0" wp14:anchorId="3306D525" wp14:editId="282BC11D">
                  <wp:extent cx="1083600" cy="900000"/>
                  <wp:effectExtent l="0" t="0" r="0" b="1905"/>
                  <wp:docPr id="1567054173" name="Picture 5" descr="Senses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54173" name="Picture 5" descr="Senses W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3600" cy="900000"/>
                          </a:xfrm>
                          <a:prstGeom prst="rect">
                            <a:avLst/>
                          </a:prstGeom>
                        </pic:spPr>
                      </pic:pic>
                    </a:graphicData>
                  </a:graphic>
                </wp:inline>
              </w:drawing>
            </w:r>
          </w:p>
        </w:tc>
        <w:tc>
          <w:tcPr>
            <w:tcW w:w="3006" w:type="dxa"/>
          </w:tcPr>
          <w:p w14:paraId="440A1D89" w14:textId="69C35F40" w:rsidR="002E436B" w:rsidRDefault="00C721EB" w:rsidP="002E436B">
            <w:pPr>
              <w:jc w:val="center"/>
            </w:pPr>
            <w:r>
              <w:rPr>
                <w:rFonts w:ascii="Arial" w:hAnsi="Arial"/>
                <w:b/>
                <w:iCs/>
                <w:noProof/>
                <w:color w:val="000050" w:themeColor="accent1"/>
                <w:sz w:val="40"/>
                <w:szCs w:val="40"/>
              </w:rPr>
              <w:drawing>
                <wp:inline distT="0" distB="0" distL="0" distR="0" wp14:anchorId="0729FFC8" wp14:editId="714653DA">
                  <wp:extent cx="1062000" cy="900000"/>
                  <wp:effectExtent l="0" t="0" r="5080" b="1905"/>
                  <wp:docPr id="38049602" name="Picture 3" descr="UsherKid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9602" name="Picture 3" descr="UsherKids Australia"/>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62000" cy="900000"/>
                          </a:xfrm>
                          <a:prstGeom prst="rect">
                            <a:avLst/>
                          </a:prstGeom>
                        </pic:spPr>
                      </pic:pic>
                    </a:graphicData>
                  </a:graphic>
                </wp:inline>
              </w:drawing>
            </w:r>
          </w:p>
        </w:tc>
      </w:tr>
    </w:tbl>
    <w:p w14:paraId="264B030F" w14:textId="3B1D157A" w:rsidR="00CE6FA2" w:rsidRPr="00491818" w:rsidRDefault="00796B13" w:rsidP="00491818">
      <w:r>
        <w:t>End of document.</w:t>
      </w:r>
    </w:p>
    <w:sectPr w:rsidR="00CE6FA2" w:rsidRPr="00491818" w:rsidSect="00863755">
      <w:footerReference w:type="default" r:id="rId24"/>
      <w:pgSz w:w="11906" w:h="16838"/>
      <w:pgMar w:top="709" w:right="1440" w:bottom="1440" w:left="1440" w:header="0"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489F" w14:textId="77777777" w:rsidR="00701CE2" w:rsidRDefault="00701CE2" w:rsidP="0002252B">
      <w:pPr>
        <w:spacing w:after="0" w:line="240" w:lineRule="auto"/>
      </w:pPr>
      <w:r>
        <w:separator/>
      </w:r>
    </w:p>
  </w:endnote>
  <w:endnote w:type="continuationSeparator" w:id="0">
    <w:p w14:paraId="138DF1BA" w14:textId="77777777" w:rsidR="00701CE2" w:rsidRDefault="00701CE2" w:rsidP="0002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877D" w14:textId="77777777" w:rsidR="0002252B" w:rsidRPr="0002252B" w:rsidRDefault="0002252B">
    <w:pPr>
      <w:pStyle w:val="Footer"/>
      <w:rPr>
        <w:b/>
        <w:bCs/>
        <w:color w:val="000050" w:themeColor="accent1"/>
      </w:rPr>
    </w:pPr>
    <w:r>
      <w:rPr>
        <w:noProof/>
      </w:rPr>
      <w:drawing>
        <wp:anchor distT="0" distB="0" distL="114300" distR="114300" simplePos="0" relativeHeight="251658240" behindDoc="0" locked="0" layoutInCell="1" allowOverlap="1" wp14:anchorId="480A7090" wp14:editId="538D2904">
          <wp:simplePos x="0" y="0"/>
          <wp:positionH relativeFrom="margin">
            <wp:posOffset>4629150</wp:posOffset>
          </wp:positionH>
          <wp:positionV relativeFrom="page">
            <wp:posOffset>9856470</wp:posOffset>
          </wp:positionV>
          <wp:extent cx="1714500" cy="540385"/>
          <wp:effectExtent l="0" t="0" r="0" b="0"/>
          <wp:wrapNone/>
          <wp:docPr id="1481681178" name="Picture 1481681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 name="Picture 307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40385"/>
                  </a:xfrm>
                  <a:prstGeom prst="rect">
                    <a:avLst/>
                  </a:prstGeom>
                </pic:spPr>
              </pic:pic>
            </a:graphicData>
          </a:graphic>
        </wp:anchor>
      </w:drawing>
    </w:r>
    <w:sdt>
      <w:sdtPr>
        <w:id w:val="-1708871511"/>
        <w:docPartObj>
          <w:docPartGallery w:val="Page Numbers (Bottom of Page)"/>
          <w:docPartUnique/>
        </w:docPartObj>
      </w:sdtPr>
      <w:sdtEndPr>
        <w:rPr>
          <w:b/>
          <w:bCs/>
          <w:noProof/>
          <w:color w:val="000050" w:themeColor="accent1"/>
        </w:rPr>
      </w:sdtEndPr>
      <w:sdtContent>
        <w:r w:rsidRPr="0002252B">
          <w:rPr>
            <w:b/>
            <w:bCs/>
            <w:color w:val="000050" w:themeColor="accent1"/>
          </w:rPr>
          <w:fldChar w:fldCharType="begin"/>
        </w:r>
        <w:r w:rsidRPr="0002252B">
          <w:rPr>
            <w:b/>
            <w:bCs/>
            <w:color w:val="000050" w:themeColor="accent1"/>
          </w:rPr>
          <w:instrText xml:space="preserve"> PAGE   \* MERGEFORMAT </w:instrText>
        </w:r>
        <w:r w:rsidRPr="0002252B">
          <w:rPr>
            <w:b/>
            <w:bCs/>
            <w:color w:val="000050" w:themeColor="accent1"/>
          </w:rPr>
          <w:fldChar w:fldCharType="separate"/>
        </w:r>
        <w:r w:rsidRPr="0002252B">
          <w:rPr>
            <w:b/>
            <w:bCs/>
            <w:color w:val="000050" w:themeColor="accent1"/>
          </w:rPr>
          <w:t>1</w:t>
        </w:r>
        <w:r w:rsidRPr="0002252B">
          <w:rPr>
            <w:b/>
            <w:bCs/>
            <w:noProof/>
            <w:color w:val="000050"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024" w14:textId="77777777" w:rsidR="00701CE2" w:rsidRDefault="00701CE2" w:rsidP="0002252B">
      <w:pPr>
        <w:spacing w:after="0" w:line="240" w:lineRule="auto"/>
      </w:pPr>
      <w:r>
        <w:separator/>
      </w:r>
    </w:p>
  </w:footnote>
  <w:footnote w:type="continuationSeparator" w:id="0">
    <w:p w14:paraId="009AEE1B" w14:textId="77777777" w:rsidR="00701CE2" w:rsidRDefault="00701CE2" w:rsidP="0002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8D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601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27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8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C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404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0A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1C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A83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4630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26498"/>
    <w:multiLevelType w:val="hybridMultilevel"/>
    <w:tmpl w:val="CCBA92EE"/>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1A575C"/>
    <w:multiLevelType w:val="multilevel"/>
    <w:tmpl w:val="69EA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8329D"/>
    <w:multiLevelType w:val="multilevel"/>
    <w:tmpl w:val="C6AE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6E3B8C"/>
    <w:multiLevelType w:val="multilevel"/>
    <w:tmpl w:val="5C4A0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72D50"/>
    <w:multiLevelType w:val="multilevel"/>
    <w:tmpl w:val="1CE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87ECC"/>
    <w:multiLevelType w:val="hybridMultilevel"/>
    <w:tmpl w:val="63DE99A2"/>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DF3688"/>
    <w:multiLevelType w:val="hybridMultilevel"/>
    <w:tmpl w:val="EA2EA126"/>
    <w:lvl w:ilvl="0" w:tplc="0ECE515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59E7BE8"/>
    <w:multiLevelType w:val="multilevel"/>
    <w:tmpl w:val="9FC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D3974"/>
    <w:multiLevelType w:val="multilevel"/>
    <w:tmpl w:val="CC2A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270B7"/>
    <w:multiLevelType w:val="multilevel"/>
    <w:tmpl w:val="B8A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E951C6"/>
    <w:multiLevelType w:val="multilevel"/>
    <w:tmpl w:val="A798F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CA3518E"/>
    <w:multiLevelType w:val="multilevel"/>
    <w:tmpl w:val="FB6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07986"/>
    <w:multiLevelType w:val="hybridMultilevel"/>
    <w:tmpl w:val="B1C0B5B4"/>
    <w:lvl w:ilvl="0" w:tplc="9C38793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154A7C"/>
    <w:multiLevelType w:val="multilevel"/>
    <w:tmpl w:val="9C70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21FAF"/>
    <w:multiLevelType w:val="multilevel"/>
    <w:tmpl w:val="6682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FB448F"/>
    <w:multiLevelType w:val="hybridMultilevel"/>
    <w:tmpl w:val="C3F421D2"/>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9B14AA"/>
    <w:multiLevelType w:val="multilevel"/>
    <w:tmpl w:val="4F52784C"/>
    <w:lvl w:ilvl="0">
      <w:start w:val="1"/>
      <w:numFmt w:val="decimal"/>
      <w:pStyle w:val="ListParagraph"/>
      <w:lvlText w:val="%1."/>
      <w:lvlJc w:val="left"/>
      <w:pPr>
        <w:ind w:left="454" w:hanging="454"/>
      </w:pPr>
      <w:rPr>
        <w:rFonts w:hint="default"/>
      </w:rPr>
    </w:lvl>
    <w:lvl w:ilvl="1">
      <w:start w:val="1"/>
      <w:numFmt w:val="lowerLetter"/>
      <w:lvlText w:val="%2."/>
      <w:lvlJc w:val="left"/>
      <w:pPr>
        <w:ind w:left="1361" w:hanging="454"/>
      </w:pPr>
      <w:rPr>
        <w:rFonts w:hint="default"/>
      </w:rPr>
    </w:lvl>
    <w:lvl w:ilvl="2">
      <w:start w:val="1"/>
      <w:numFmt w:val="lowerRoman"/>
      <w:lvlText w:val="%3."/>
      <w:lvlJc w:val="right"/>
      <w:pPr>
        <w:ind w:left="2268" w:hanging="454"/>
      </w:pPr>
      <w:rPr>
        <w:rFonts w:hint="default"/>
      </w:rPr>
    </w:lvl>
    <w:lvl w:ilvl="3">
      <w:start w:val="1"/>
      <w:numFmt w:val="decimal"/>
      <w:lvlText w:val="%4."/>
      <w:lvlJc w:val="left"/>
      <w:pPr>
        <w:ind w:left="3175" w:hanging="454"/>
      </w:pPr>
      <w:rPr>
        <w:rFonts w:hint="default"/>
      </w:rPr>
    </w:lvl>
    <w:lvl w:ilvl="4">
      <w:start w:val="1"/>
      <w:numFmt w:val="lowerLetter"/>
      <w:lvlText w:val="%5."/>
      <w:lvlJc w:val="left"/>
      <w:pPr>
        <w:ind w:left="4082" w:hanging="454"/>
      </w:pPr>
      <w:rPr>
        <w:rFonts w:hint="default"/>
      </w:rPr>
    </w:lvl>
    <w:lvl w:ilvl="5">
      <w:start w:val="1"/>
      <w:numFmt w:val="lowerRoman"/>
      <w:lvlText w:val="%6."/>
      <w:lvlJc w:val="right"/>
      <w:pPr>
        <w:ind w:left="4989" w:hanging="454"/>
      </w:pPr>
      <w:rPr>
        <w:rFonts w:hint="default"/>
      </w:rPr>
    </w:lvl>
    <w:lvl w:ilvl="6">
      <w:start w:val="1"/>
      <w:numFmt w:val="decimal"/>
      <w:lvlText w:val="%7."/>
      <w:lvlJc w:val="left"/>
      <w:pPr>
        <w:ind w:left="5896" w:hanging="454"/>
      </w:pPr>
      <w:rPr>
        <w:rFonts w:hint="default"/>
      </w:rPr>
    </w:lvl>
    <w:lvl w:ilvl="7">
      <w:start w:val="1"/>
      <w:numFmt w:val="lowerLetter"/>
      <w:lvlText w:val="%8."/>
      <w:lvlJc w:val="left"/>
      <w:pPr>
        <w:ind w:left="6803" w:hanging="454"/>
      </w:pPr>
      <w:rPr>
        <w:rFonts w:hint="default"/>
      </w:rPr>
    </w:lvl>
    <w:lvl w:ilvl="8">
      <w:start w:val="1"/>
      <w:numFmt w:val="lowerRoman"/>
      <w:lvlText w:val="%9."/>
      <w:lvlJc w:val="right"/>
      <w:pPr>
        <w:ind w:left="7710" w:hanging="454"/>
      </w:pPr>
      <w:rPr>
        <w:rFonts w:hint="default"/>
      </w:rPr>
    </w:lvl>
  </w:abstractNum>
  <w:abstractNum w:abstractNumId="27" w15:restartNumberingAfterBreak="0">
    <w:nsid w:val="34DC1BDB"/>
    <w:multiLevelType w:val="hybridMultilevel"/>
    <w:tmpl w:val="9BE2DB46"/>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84507"/>
    <w:multiLevelType w:val="hybridMultilevel"/>
    <w:tmpl w:val="B5C24916"/>
    <w:lvl w:ilvl="0" w:tplc="9C38793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67B5B"/>
    <w:multiLevelType w:val="multilevel"/>
    <w:tmpl w:val="6A34B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C2E91"/>
    <w:multiLevelType w:val="multilevel"/>
    <w:tmpl w:val="77C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4C7DA1"/>
    <w:multiLevelType w:val="hybridMultilevel"/>
    <w:tmpl w:val="9EA6D980"/>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9E0DA2"/>
    <w:multiLevelType w:val="hybridMultilevel"/>
    <w:tmpl w:val="577A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707DBC"/>
    <w:multiLevelType w:val="multilevel"/>
    <w:tmpl w:val="B9AECF5A"/>
    <w:lvl w:ilvl="0">
      <w:start w:val="1"/>
      <w:numFmt w:val="decimal"/>
      <w:lvlText w:val="%1."/>
      <w:lvlJc w:val="left"/>
      <w:pPr>
        <w:ind w:left="1134" w:hanging="1134"/>
      </w:pPr>
      <w:rPr>
        <w:rFonts w:hint="default"/>
      </w:rPr>
    </w:lvl>
    <w:lvl w:ilvl="1">
      <w:start w:val="1"/>
      <w:numFmt w:val="lowerLetter"/>
      <w:lvlText w:val="%2."/>
      <w:lvlJc w:val="left"/>
      <w:pPr>
        <w:ind w:left="1440" w:hanging="30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BA00F36"/>
    <w:multiLevelType w:val="multilevel"/>
    <w:tmpl w:val="60C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F32D7F"/>
    <w:multiLevelType w:val="hybridMultilevel"/>
    <w:tmpl w:val="FA90FC06"/>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A11EF7"/>
    <w:multiLevelType w:val="multilevel"/>
    <w:tmpl w:val="475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6507B"/>
    <w:multiLevelType w:val="multilevel"/>
    <w:tmpl w:val="858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22ABB"/>
    <w:multiLevelType w:val="multilevel"/>
    <w:tmpl w:val="F7D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D62A3"/>
    <w:multiLevelType w:val="hybridMultilevel"/>
    <w:tmpl w:val="CA76BE28"/>
    <w:lvl w:ilvl="0" w:tplc="9C38793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EF04FF"/>
    <w:multiLevelType w:val="hybridMultilevel"/>
    <w:tmpl w:val="12BC3B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CFD6FC1"/>
    <w:multiLevelType w:val="multilevel"/>
    <w:tmpl w:val="F93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712B2"/>
    <w:multiLevelType w:val="hybridMultilevel"/>
    <w:tmpl w:val="C5E44E6A"/>
    <w:lvl w:ilvl="0" w:tplc="E71A6D2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5201B"/>
    <w:multiLevelType w:val="hybridMultilevel"/>
    <w:tmpl w:val="A8708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BF3D00"/>
    <w:multiLevelType w:val="multilevel"/>
    <w:tmpl w:val="B5D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907287">
    <w:abstractNumId w:val="9"/>
  </w:num>
  <w:num w:numId="2" w16cid:durableId="1550067129">
    <w:abstractNumId w:val="9"/>
  </w:num>
  <w:num w:numId="3" w16cid:durableId="121072436">
    <w:abstractNumId w:val="26"/>
  </w:num>
  <w:num w:numId="4" w16cid:durableId="31659991">
    <w:abstractNumId w:val="16"/>
  </w:num>
  <w:num w:numId="5" w16cid:durableId="1903828197">
    <w:abstractNumId w:val="6"/>
  </w:num>
  <w:num w:numId="6" w16cid:durableId="599801409">
    <w:abstractNumId w:val="33"/>
  </w:num>
  <w:num w:numId="7" w16cid:durableId="16816196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962331">
    <w:abstractNumId w:val="7"/>
  </w:num>
  <w:num w:numId="9" w16cid:durableId="1287472769">
    <w:abstractNumId w:val="5"/>
  </w:num>
  <w:num w:numId="10" w16cid:durableId="477108942">
    <w:abstractNumId w:val="4"/>
  </w:num>
  <w:num w:numId="11" w16cid:durableId="1031690549">
    <w:abstractNumId w:val="8"/>
  </w:num>
  <w:num w:numId="12" w16cid:durableId="221715706">
    <w:abstractNumId w:val="3"/>
  </w:num>
  <w:num w:numId="13" w16cid:durableId="859004162">
    <w:abstractNumId w:val="2"/>
  </w:num>
  <w:num w:numId="14" w16cid:durableId="907810548">
    <w:abstractNumId w:val="1"/>
  </w:num>
  <w:num w:numId="15" w16cid:durableId="1904439989">
    <w:abstractNumId w:val="0"/>
  </w:num>
  <w:num w:numId="16" w16cid:durableId="9568720">
    <w:abstractNumId w:val="32"/>
  </w:num>
  <w:num w:numId="17" w16cid:durableId="875893980">
    <w:abstractNumId w:val="35"/>
  </w:num>
  <w:num w:numId="18" w16cid:durableId="34014374">
    <w:abstractNumId w:val="15"/>
  </w:num>
  <w:num w:numId="19" w16cid:durableId="1338657489">
    <w:abstractNumId w:val="10"/>
  </w:num>
  <w:num w:numId="20" w16cid:durableId="145362041">
    <w:abstractNumId w:val="31"/>
  </w:num>
  <w:num w:numId="21" w16cid:durableId="1858230682">
    <w:abstractNumId w:val="27"/>
  </w:num>
  <w:num w:numId="22" w16cid:durableId="1963001508">
    <w:abstractNumId w:val="42"/>
  </w:num>
  <w:num w:numId="23" w16cid:durableId="1392651527">
    <w:abstractNumId w:val="25"/>
  </w:num>
  <w:num w:numId="24" w16cid:durableId="388892340">
    <w:abstractNumId w:val="22"/>
  </w:num>
  <w:num w:numId="25" w16cid:durableId="525677208">
    <w:abstractNumId w:val="28"/>
  </w:num>
  <w:num w:numId="26" w16cid:durableId="1012798757">
    <w:abstractNumId w:val="43"/>
  </w:num>
  <w:num w:numId="27" w16cid:durableId="1159619187">
    <w:abstractNumId w:val="40"/>
  </w:num>
  <w:num w:numId="28" w16cid:durableId="677735980">
    <w:abstractNumId w:val="39"/>
  </w:num>
  <w:num w:numId="29" w16cid:durableId="6643000">
    <w:abstractNumId w:val="34"/>
  </w:num>
  <w:num w:numId="30" w16cid:durableId="1092896506">
    <w:abstractNumId w:val="12"/>
  </w:num>
  <w:num w:numId="31" w16cid:durableId="985547243">
    <w:abstractNumId w:val="20"/>
  </w:num>
  <w:num w:numId="32" w16cid:durableId="1597441416">
    <w:abstractNumId w:val="14"/>
  </w:num>
  <w:num w:numId="33" w16cid:durableId="1571235412">
    <w:abstractNumId w:val="41"/>
  </w:num>
  <w:num w:numId="34" w16cid:durableId="935215134">
    <w:abstractNumId w:val="23"/>
  </w:num>
  <w:num w:numId="35" w16cid:durableId="1893425018">
    <w:abstractNumId w:val="44"/>
  </w:num>
  <w:num w:numId="36" w16cid:durableId="1785415265">
    <w:abstractNumId w:val="18"/>
  </w:num>
  <w:num w:numId="37" w16cid:durableId="50427220">
    <w:abstractNumId w:val="24"/>
  </w:num>
  <w:num w:numId="38" w16cid:durableId="1510556396">
    <w:abstractNumId w:val="38"/>
  </w:num>
  <w:num w:numId="39" w16cid:durableId="53309799">
    <w:abstractNumId w:val="19"/>
  </w:num>
  <w:num w:numId="40" w16cid:durableId="225537037">
    <w:abstractNumId w:val="36"/>
  </w:num>
  <w:num w:numId="41" w16cid:durableId="2081633019">
    <w:abstractNumId w:val="37"/>
  </w:num>
  <w:num w:numId="42" w16cid:durableId="1493256588">
    <w:abstractNumId w:val="11"/>
  </w:num>
  <w:num w:numId="43" w16cid:durableId="1332758407">
    <w:abstractNumId w:val="29"/>
  </w:num>
  <w:num w:numId="44" w16cid:durableId="582833331">
    <w:abstractNumId w:val="30"/>
  </w:num>
  <w:num w:numId="45" w16cid:durableId="1867936445">
    <w:abstractNumId w:val="21"/>
  </w:num>
  <w:num w:numId="46" w16cid:durableId="520431415">
    <w:abstractNumId w:val="17"/>
  </w:num>
  <w:num w:numId="47" w16cid:durableId="730615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C3"/>
    <w:rsid w:val="0000437F"/>
    <w:rsid w:val="000142D6"/>
    <w:rsid w:val="0002252B"/>
    <w:rsid w:val="00030446"/>
    <w:rsid w:val="00034B12"/>
    <w:rsid w:val="00036880"/>
    <w:rsid w:val="00053FC3"/>
    <w:rsid w:val="0005698F"/>
    <w:rsid w:val="000601C1"/>
    <w:rsid w:val="00060FEF"/>
    <w:rsid w:val="00063352"/>
    <w:rsid w:val="00066758"/>
    <w:rsid w:val="00071693"/>
    <w:rsid w:val="00082E45"/>
    <w:rsid w:val="00087FA3"/>
    <w:rsid w:val="000A5A2A"/>
    <w:rsid w:val="000B2C67"/>
    <w:rsid w:val="000C694B"/>
    <w:rsid w:val="000D5115"/>
    <w:rsid w:val="00110784"/>
    <w:rsid w:val="00111D99"/>
    <w:rsid w:val="00112086"/>
    <w:rsid w:val="0012175A"/>
    <w:rsid w:val="001306C8"/>
    <w:rsid w:val="00131248"/>
    <w:rsid w:val="00133D6C"/>
    <w:rsid w:val="00143311"/>
    <w:rsid w:val="0015319E"/>
    <w:rsid w:val="001752DF"/>
    <w:rsid w:val="001773B6"/>
    <w:rsid w:val="00180C45"/>
    <w:rsid w:val="00181C15"/>
    <w:rsid w:val="0018282F"/>
    <w:rsid w:val="00186262"/>
    <w:rsid w:val="00190485"/>
    <w:rsid w:val="00191A34"/>
    <w:rsid w:val="001C7276"/>
    <w:rsid w:val="001C7AEB"/>
    <w:rsid w:val="001F5606"/>
    <w:rsid w:val="002053C6"/>
    <w:rsid w:val="00205CAC"/>
    <w:rsid w:val="00206110"/>
    <w:rsid w:val="002079B0"/>
    <w:rsid w:val="002129AB"/>
    <w:rsid w:val="00213F01"/>
    <w:rsid w:val="00234431"/>
    <w:rsid w:val="00262BF7"/>
    <w:rsid w:val="0026352C"/>
    <w:rsid w:val="002A31FB"/>
    <w:rsid w:val="002C6DFF"/>
    <w:rsid w:val="002D031F"/>
    <w:rsid w:val="002D3857"/>
    <w:rsid w:val="002D7C67"/>
    <w:rsid w:val="002E35F5"/>
    <w:rsid w:val="002E3C56"/>
    <w:rsid w:val="002E436B"/>
    <w:rsid w:val="002E73AE"/>
    <w:rsid w:val="003005CC"/>
    <w:rsid w:val="003010AE"/>
    <w:rsid w:val="00306E4F"/>
    <w:rsid w:val="00313713"/>
    <w:rsid w:val="0031760E"/>
    <w:rsid w:val="00330222"/>
    <w:rsid w:val="00331D9B"/>
    <w:rsid w:val="003473CA"/>
    <w:rsid w:val="003476CB"/>
    <w:rsid w:val="00366E16"/>
    <w:rsid w:val="0037433F"/>
    <w:rsid w:val="00380ECC"/>
    <w:rsid w:val="003A530C"/>
    <w:rsid w:val="003B2E39"/>
    <w:rsid w:val="003C3850"/>
    <w:rsid w:val="003E416A"/>
    <w:rsid w:val="003F0171"/>
    <w:rsid w:val="003F2262"/>
    <w:rsid w:val="003F4ABA"/>
    <w:rsid w:val="003F5DE8"/>
    <w:rsid w:val="003F785E"/>
    <w:rsid w:val="003F7EBC"/>
    <w:rsid w:val="00401339"/>
    <w:rsid w:val="004016AF"/>
    <w:rsid w:val="00407D48"/>
    <w:rsid w:val="00411A7D"/>
    <w:rsid w:val="004143D7"/>
    <w:rsid w:val="0042694F"/>
    <w:rsid w:val="00437D18"/>
    <w:rsid w:val="00446AE6"/>
    <w:rsid w:val="004539B2"/>
    <w:rsid w:val="00457284"/>
    <w:rsid w:val="004578D3"/>
    <w:rsid w:val="0047295F"/>
    <w:rsid w:val="004754C2"/>
    <w:rsid w:val="00482DDF"/>
    <w:rsid w:val="00491818"/>
    <w:rsid w:val="0049205A"/>
    <w:rsid w:val="0049693E"/>
    <w:rsid w:val="004A21E9"/>
    <w:rsid w:val="004A27F6"/>
    <w:rsid w:val="004A6E47"/>
    <w:rsid w:val="004C5717"/>
    <w:rsid w:val="004D00AC"/>
    <w:rsid w:val="004D2D84"/>
    <w:rsid w:val="004D4EFE"/>
    <w:rsid w:val="004D7706"/>
    <w:rsid w:val="004F40D4"/>
    <w:rsid w:val="0051379A"/>
    <w:rsid w:val="00531351"/>
    <w:rsid w:val="00532B6C"/>
    <w:rsid w:val="00544F72"/>
    <w:rsid w:val="005674ED"/>
    <w:rsid w:val="005754BF"/>
    <w:rsid w:val="00592D43"/>
    <w:rsid w:val="0059409A"/>
    <w:rsid w:val="005A55FC"/>
    <w:rsid w:val="005A6B53"/>
    <w:rsid w:val="005B0DF8"/>
    <w:rsid w:val="005C39A7"/>
    <w:rsid w:val="005C5896"/>
    <w:rsid w:val="005D3324"/>
    <w:rsid w:val="005D4979"/>
    <w:rsid w:val="005D4B73"/>
    <w:rsid w:val="0060677B"/>
    <w:rsid w:val="0061573F"/>
    <w:rsid w:val="00617492"/>
    <w:rsid w:val="006261BB"/>
    <w:rsid w:val="00636666"/>
    <w:rsid w:val="00640910"/>
    <w:rsid w:val="00642BAB"/>
    <w:rsid w:val="006440A0"/>
    <w:rsid w:val="006462C1"/>
    <w:rsid w:val="0064648B"/>
    <w:rsid w:val="00662445"/>
    <w:rsid w:val="00672506"/>
    <w:rsid w:val="00690E27"/>
    <w:rsid w:val="006A4758"/>
    <w:rsid w:val="006C78FB"/>
    <w:rsid w:val="006D1DA6"/>
    <w:rsid w:val="006E549E"/>
    <w:rsid w:val="006E5D4A"/>
    <w:rsid w:val="006F3AA6"/>
    <w:rsid w:val="006F4EC4"/>
    <w:rsid w:val="006F503A"/>
    <w:rsid w:val="006F6E54"/>
    <w:rsid w:val="00701CE2"/>
    <w:rsid w:val="00722C31"/>
    <w:rsid w:val="00741219"/>
    <w:rsid w:val="00744437"/>
    <w:rsid w:val="00753FF4"/>
    <w:rsid w:val="007563C0"/>
    <w:rsid w:val="00785B45"/>
    <w:rsid w:val="0079134E"/>
    <w:rsid w:val="00794A96"/>
    <w:rsid w:val="00796B13"/>
    <w:rsid w:val="007D1E32"/>
    <w:rsid w:val="007E0306"/>
    <w:rsid w:val="007E5678"/>
    <w:rsid w:val="00801E84"/>
    <w:rsid w:val="008141C8"/>
    <w:rsid w:val="00834302"/>
    <w:rsid w:val="00843D41"/>
    <w:rsid w:val="00844BFE"/>
    <w:rsid w:val="00863755"/>
    <w:rsid w:val="00867A98"/>
    <w:rsid w:val="00871C76"/>
    <w:rsid w:val="0088284C"/>
    <w:rsid w:val="008957F9"/>
    <w:rsid w:val="008B15FF"/>
    <w:rsid w:val="008B5BB5"/>
    <w:rsid w:val="008B5EE8"/>
    <w:rsid w:val="008D51EC"/>
    <w:rsid w:val="008E1075"/>
    <w:rsid w:val="008F3E08"/>
    <w:rsid w:val="009125DF"/>
    <w:rsid w:val="00915470"/>
    <w:rsid w:val="009176BA"/>
    <w:rsid w:val="00923D5F"/>
    <w:rsid w:val="00923E40"/>
    <w:rsid w:val="009346BE"/>
    <w:rsid w:val="009355E2"/>
    <w:rsid w:val="009358EE"/>
    <w:rsid w:val="00935D48"/>
    <w:rsid w:val="009429B0"/>
    <w:rsid w:val="009437C1"/>
    <w:rsid w:val="00951A50"/>
    <w:rsid w:val="00956B24"/>
    <w:rsid w:val="00981694"/>
    <w:rsid w:val="009836BD"/>
    <w:rsid w:val="00993E69"/>
    <w:rsid w:val="0099751E"/>
    <w:rsid w:val="009A146D"/>
    <w:rsid w:val="009A33C6"/>
    <w:rsid w:val="009A755C"/>
    <w:rsid w:val="009C2E6F"/>
    <w:rsid w:val="009C75BD"/>
    <w:rsid w:val="009C782D"/>
    <w:rsid w:val="009D73A9"/>
    <w:rsid w:val="009E3AAA"/>
    <w:rsid w:val="009E435D"/>
    <w:rsid w:val="009F6964"/>
    <w:rsid w:val="009F771D"/>
    <w:rsid w:val="00A102F6"/>
    <w:rsid w:val="00A3608D"/>
    <w:rsid w:val="00A619F0"/>
    <w:rsid w:val="00A64D38"/>
    <w:rsid w:val="00A824DE"/>
    <w:rsid w:val="00A83B03"/>
    <w:rsid w:val="00A93CC7"/>
    <w:rsid w:val="00A97AE9"/>
    <w:rsid w:val="00AB42FE"/>
    <w:rsid w:val="00AB63D8"/>
    <w:rsid w:val="00AD7D2A"/>
    <w:rsid w:val="00AF474F"/>
    <w:rsid w:val="00AF7F2C"/>
    <w:rsid w:val="00B018F7"/>
    <w:rsid w:val="00B01E4C"/>
    <w:rsid w:val="00B11396"/>
    <w:rsid w:val="00B3248C"/>
    <w:rsid w:val="00B43A5C"/>
    <w:rsid w:val="00B46D6F"/>
    <w:rsid w:val="00B6037F"/>
    <w:rsid w:val="00B7187B"/>
    <w:rsid w:val="00B9434C"/>
    <w:rsid w:val="00B9769A"/>
    <w:rsid w:val="00BB5A16"/>
    <w:rsid w:val="00BD7F71"/>
    <w:rsid w:val="00BE122D"/>
    <w:rsid w:val="00BE13CC"/>
    <w:rsid w:val="00BE17F3"/>
    <w:rsid w:val="00BE6CE8"/>
    <w:rsid w:val="00BF21FB"/>
    <w:rsid w:val="00C00CE1"/>
    <w:rsid w:val="00C01533"/>
    <w:rsid w:val="00C216E4"/>
    <w:rsid w:val="00C2486C"/>
    <w:rsid w:val="00C24929"/>
    <w:rsid w:val="00C26E1E"/>
    <w:rsid w:val="00C307AB"/>
    <w:rsid w:val="00C332E8"/>
    <w:rsid w:val="00C44B6C"/>
    <w:rsid w:val="00C611C3"/>
    <w:rsid w:val="00C6225E"/>
    <w:rsid w:val="00C721EB"/>
    <w:rsid w:val="00C8380B"/>
    <w:rsid w:val="00C90CF2"/>
    <w:rsid w:val="00C969D5"/>
    <w:rsid w:val="00CA006A"/>
    <w:rsid w:val="00CA01F4"/>
    <w:rsid w:val="00CB33DA"/>
    <w:rsid w:val="00CB3997"/>
    <w:rsid w:val="00CD5C14"/>
    <w:rsid w:val="00CE0952"/>
    <w:rsid w:val="00CE383C"/>
    <w:rsid w:val="00CE5D68"/>
    <w:rsid w:val="00CE6DB3"/>
    <w:rsid w:val="00CE6FA2"/>
    <w:rsid w:val="00CE7F2A"/>
    <w:rsid w:val="00CF29C1"/>
    <w:rsid w:val="00D228FA"/>
    <w:rsid w:val="00D30EE5"/>
    <w:rsid w:val="00D342DB"/>
    <w:rsid w:val="00D52351"/>
    <w:rsid w:val="00D60EF5"/>
    <w:rsid w:val="00D63501"/>
    <w:rsid w:val="00D6351C"/>
    <w:rsid w:val="00D67C3B"/>
    <w:rsid w:val="00D8230C"/>
    <w:rsid w:val="00D906C1"/>
    <w:rsid w:val="00D91831"/>
    <w:rsid w:val="00DB3579"/>
    <w:rsid w:val="00DC76C2"/>
    <w:rsid w:val="00DD3472"/>
    <w:rsid w:val="00DE0C80"/>
    <w:rsid w:val="00DE7C87"/>
    <w:rsid w:val="00DF0740"/>
    <w:rsid w:val="00DF165C"/>
    <w:rsid w:val="00DF5FB5"/>
    <w:rsid w:val="00DF7727"/>
    <w:rsid w:val="00E05199"/>
    <w:rsid w:val="00E10B59"/>
    <w:rsid w:val="00E14CC3"/>
    <w:rsid w:val="00E15D1C"/>
    <w:rsid w:val="00E2244D"/>
    <w:rsid w:val="00E24409"/>
    <w:rsid w:val="00E32752"/>
    <w:rsid w:val="00E364A2"/>
    <w:rsid w:val="00E44A4F"/>
    <w:rsid w:val="00E61909"/>
    <w:rsid w:val="00E733D3"/>
    <w:rsid w:val="00E912C6"/>
    <w:rsid w:val="00E918D5"/>
    <w:rsid w:val="00E95493"/>
    <w:rsid w:val="00EA29B1"/>
    <w:rsid w:val="00EB7719"/>
    <w:rsid w:val="00EC2F52"/>
    <w:rsid w:val="00EC4B4E"/>
    <w:rsid w:val="00ED1F12"/>
    <w:rsid w:val="00EE2601"/>
    <w:rsid w:val="00EE63B9"/>
    <w:rsid w:val="00F03EE3"/>
    <w:rsid w:val="00F10ADC"/>
    <w:rsid w:val="00F157C9"/>
    <w:rsid w:val="00F21AA8"/>
    <w:rsid w:val="00F249CB"/>
    <w:rsid w:val="00F25730"/>
    <w:rsid w:val="00F46753"/>
    <w:rsid w:val="00F55FEA"/>
    <w:rsid w:val="00F60E03"/>
    <w:rsid w:val="00F61A9C"/>
    <w:rsid w:val="00F65367"/>
    <w:rsid w:val="00F71AA2"/>
    <w:rsid w:val="00F87FA1"/>
    <w:rsid w:val="00FB60DB"/>
    <w:rsid w:val="00FC5C7D"/>
    <w:rsid w:val="00FC6E69"/>
    <w:rsid w:val="00FD17E0"/>
    <w:rsid w:val="00FD3C30"/>
    <w:rsid w:val="00FD6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FEA4"/>
  <w15:chartTrackingRefBased/>
  <w15:docId w15:val="{32C60851-5377-ED4D-9197-A745E30A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62"/>
    <w:pPr>
      <w:spacing w:after="480" w:line="360" w:lineRule="auto"/>
    </w:pPr>
  </w:style>
  <w:style w:type="paragraph" w:styleId="Heading1">
    <w:name w:val="heading 1"/>
    <w:basedOn w:val="NoSpacing"/>
    <w:next w:val="Normal"/>
    <w:link w:val="Heading1Char"/>
    <w:uiPriority w:val="2"/>
    <w:qFormat/>
    <w:rsid w:val="00A102F6"/>
    <w:pPr>
      <w:spacing w:before="3000"/>
      <w:ind w:left="567" w:right="1656"/>
      <w:outlineLvl w:val="0"/>
    </w:pPr>
    <w:rPr>
      <w:rFonts w:eastAsiaTheme="majorEastAsia" w:cstheme="minorHAnsi"/>
      <w:b/>
      <w:bCs/>
      <w:color w:val="C2171C" w:themeColor="accent2"/>
      <w:sz w:val="72"/>
      <w:szCs w:val="72"/>
    </w:rPr>
  </w:style>
  <w:style w:type="paragraph" w:styleId="Heading2">
    <w:name w:val="heading 2"/>
    <w:basedOn w:val="Normal"/>
    <w:next w:val="Normal"/>
    <w:link w:val="Heading2Char"/>
    <w:uiPriority w:val="2"/>
    <w:qFormat/>
    <w:rsid w:val="00A102F6"/>
    <w:pPr>
      <w:spacing w:after="240"/>
      <w:outlineLvl w:val="1"/>
    </w:pPr>
    <w:rPr>
      <w:rFonts w:cstheme="majorHAnsi"/>
      <w:b/>
      <w:bCs/>
      <w:color w:val="000050" w:themeColor="accent1"/>
      <w:sz w:val="40"/>
      <w:szCs w:val="36"/>
    </w:rPr>
  </w:style>
  <w:style w:type="paragraph" w:styleId="Heading3">
    <w:name w:val="heading 3"/>
    <w:basedOn w:val="Heading2"/>
    <w:next w:val="Normal"/>
    <w:link w:val="Heading3Char"/>
    <w:uiPriority w:val="2"/>
    <w:qFormat/>
    <w:rsid w:val="00871C76"/>
    <w:pPr>
      <w:outlineLvl w:val="2"/>
    </w:pPr>
    <w:rPr>
      <w:color w:val="000000" w:themeColor="text1"/>
      <w:sz w:val="36"/>
      <w:szCs w:val="44"/>
    </w:rPr>
  </w:style>
  <w:style w:type="paragraph" w:styleId="Heading4">
    <w:name w:val="heading 4"/>
    <w:basedOn w:val="Normal"/>
    <w:next w:val="Normal"/>
    <w:link w:val="Heading4Char"/>
    <w:uiPriority w:val="2"/>
    <w:qFormat/>
    <w:rsid w:val="00CD5C14"/>
    <w:pPr>
      <w:spacing w:after="240"/>
      <w:outlineLvl w:val="3"/>
    </w:pPr>
    <w:rPr>
      <w:rFonts w:cstheme="majorHAnsi"/>
      <w:b/>
      <w:bCs/>
      <w:color w:val="000000" w:themeColor="text1"/>
      <w:sz w:val="28"/>
      <w:szCs w:val="28"/>
    </w:rPr>
  </w:style>
  <w:style w:type="paragraph" w:styleId="Heading5">
    <w:name w:val="heading 5"/>
    <w:basedOn w:val="Normal"/>
    <w:next w:val="Normal"/>
    <w:link w:val="Heading5Char"/>
    <w:uiPriority w:val="2"/>
    <w:qFormat/>
    <w:rsid w:val="003F4ABA"/>
    <w:pPr>
      <w:spacing w:after="240"/>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02F6"/>
    <w:rPr>
      <w:rFonts w:eastAsiaTheme="majorEastAsia" w:cstheme="minorHAnsi"/>
      <w:b/>
      <w:bCs/>
      <w:color w:val="C2171C" w:themeColor="accent2"/>
      <w:sz w:val="72"/>
      <w:szCs w:val="72"/>
      <w:lang w:val="en-US"/>
    </w:rPr>
  </w:style>
  <w:style w:type="character" w:customStyle="1" w:styleId="Heading2Char">
    <w:name w:val="Heading 2 Char"/>
    <w:basedOn w:val="DefaultParagraphFont"/>
    <w:link w:val="Heading2"/>
    <w:uiPriority w:val="2"/>
    <w:rsid w:val="00A102F6"/>
    <w:rPr>
      <w:rFonts w:cstheme="majorHAnsi"/>
      <w:b/>
      <w:bCs/>
      <w:color w:val="000050" w:themeColor="accent1"/>
      <w:sz w:val="40"/>
      <w:szCs w:val="36"/>
    </w:rPr>
  </w:style>
  <w:style w:type="character" w:customStyle="1" w:styleId="Heading3Char">
    <w:name w:val="Heading 3 Char"/>
    <w:basedOn w:val="DefaultParagraphFont"/>
    <w:link w:val="Heading3"/>
    <w:uiPriority w:val="2"/>
    <w:rsid w:val="00871C76"/>
    <w:rPr>
      <w:rFonts w:cstheme="majorHAnsi"/>
      <w:b/>
      <w:bCs/>
      <w:color w:val="000000" w:themeColor="text1"/>
      <w:sz w:val="36"/>
      <w:szCs w:val="44"/>
    </w:rPr>
  </w:style>
  <w:style w:type="character" w:customStyle="1" w:styleId="Heading4Char">
    <w:name w:val="Heading 4 Char"/>
    <w:basedOn w:val="DefaultParagraphFont"/>
    <w:link w:val="Heading4"/>
    <w:uiPriority w:val="2"/>
    <w:rsid w:val="00CD5C14"/>
    <w:rPr>
      <w:rFonts w:cstheme="majorHAnsi"/>
      <w:b/>
      <w:bCs/>
      <w:color w:val="000000" w:themeColor="text1"/>
      <w:sz w:val="28"/>
      <w:szCs w:val="28"/>
    </w:rPr>
  </w:style>
  <w:style w:type="character" w:customStyle="1" w:styleId="Heading5Char">
    <w:name w:val="Heading 5 Char"/>
    <w:basedOn w:val="DefaultParagraphFont"/>
    <w:link w:val="Heading5"/>
    <w:uiPriority w:val="2"/>
    <w:rsid w:val="00186262"/>
    <w:rPr>
      <w:rFonts w:ascii="Arial" w:hAnsi="Arial" w:cs="Arial"/>
      <w:b/>
      <w:bCs/>
      <w:sz w:val="28"/>
    </w:rPr>
  </w:style>
  <w:style w:type="paragraph" w:customStyle="1" w:styleId="Tablecopy">
    <w:name w:val="Table copy"/>
    <w:basedOn w:val="Normal"/>
    <w:uiPriority w:val="9"/>
    <w:qFormat/>
    <w:rsid w:val="00C969D5"/>
    <w:pPr>
      <w:spacing w:before="200" w:after="100" w:line="320" w:lineRule="exact"/>
      <w:outlineLvl w:val="2"/>
    </w:pPr>
    <w:rPr>
      <w:rFonts w:ascii="Arial" w:hAnsi="Arial" w:cstheme="majorHAnsi"/>
      <w:b/>
      <w:bCs/>
      <w:color w:val="262626" w:themeColor="text1" w:themeTint="D9"/>
      <w:szCs w:val="18"/>
    </w:rPr>
  </w:style>
  <w:style w:type="paragraph" w:customStyle="1" w:styleId="AddressBlock">
    <w:name w:val="Address Block"/>
    <w:basedOn w:val="Normal"/>
    <w:uiPriority w:val="5"/>
    <w:qFormat/>
    <w:rsid w:val="00FD6770"/>
    <w:pPr>
      <w:tabs>
        <w:tab w:val="left" w:pos="7460"/>
      </w:tabs>
      <w:contextualSpacing/>
    </w:pPr>
  </w:style>
  <w:style w:type="paragraph" w:customStyle="1" w:styleId="NormalunderSH">
    <w:name w:val="Normal under SH"/>
    <w:basedOn w:val="Normal"/>
    <w:link w:val="NormalunderSHChar"/>
    <w:unhideWhenUsed/>
    <w:rsid w:val="00D52351"/>
    <w:pPr>
      <w:spacing w:before="120"/>
    </w:pPr>
  </w:style>
  <w:style w:type="character" w:customStyle="1" w:styleId="NormalunderSHChar">
    <w:name w:val="Normal under SH Char"/>
    <w:basedOn w:val="DefaultParagraphFont"/>
    <w:link w:val="NormalunderSH"/>
    <w:rsid w:val="00482DDF"/>
  </w:style>
  <w:style w:type="paragraph" w:customStyle="1" w:styleId="Normal-additionalspace">
    <w:name w:val="Normal - additional space"/>
    <w:basedOn w:val="Normal"/>
    <w:link w:val="Normal-additionalspaceChar"/>
    <w:rsid w:val="00D52351"/>
    <w:pPr>
      <w:spacing w:line="720" w:lineRule="auto"/>
    </w:pPr>
  </w:style>
  <w:style w:type="character" w:customStyle="1" w:styleId="Normal-additionalspaceChar">
    <w:name w:val="Normal - additional space Char"/>
    <w:basedOn w:val="DefaultParagraphFont"/>
    <w:link w:val="Normal-additionalspace"/>
    <w:rsid w:val="00D52351"/>
  </w:style>
  <w:style w:type="paragraph" w:styleId="ListBullet">
    <w:name w:val="List Bullet"/>
    <w:basedOn w:val="Normal"/>
    <w:uiPriority w:val="3"/>
    <w:qFormat/>
    <w:rsid w:val="00D52351"/>
    <w:pPr>
      <w:numPr>
        <w:numId w:val="2"/>
      </w:numPr>
      <w:spacing w:before="120"/>
    </w:pPr>
  </w:style>
  <w:style w:type="paragraph" w:styleId="Subtitle">
    <w:name w:val="Subtitle"/>
    <w:basedOn w:val="Normal"/>
    <w:next w:val="Normal"/>
    <w:link w:val="SubtitleChar"/>
    <w:uiPriority w:val="2"/>
    <w:qFormat/>
    <w:rsid w:val="00544F72"/>
    <w:pPr>
      <w:numPr>
        <w:ilvl w:val="1"/>
      </w:numPr>
      <w:spacing w:after="160"/>
    </w:pPr>
    <w:rPr>
      <w:rFonts w:eastAsiaTheme="minorEastAsia"/>
      <w:b/>
      <w:color w:val="000050" w:themeColor="accent1"/>
      <w:sz w:val="36"/>
      <w:szCs w:val="22"/>
    </w:rPr>
  </w:style>
  <w:style w:type="character" w:customStyle="1" w:styleId="SubtitleChar">
    <w:name w:val="Subtitle Char"/>
    <w:basedOn w:val="DefaultParagraphFont"/>
    <w:link w:val="Subtitle"/>
    <w:uiPriority w:val="2"/>
    <w:rsid w:val="00186262"/>
    <w:rPr>
      <w:rFonts w:eastAsiaTheme="minorEastAsia"/>
      <w:b/>
      <w:color w:val="000050" w:themeColor="accent1"/>
      <w:sz w:val="36"/>
      <w:szCs w:val="22"/>
    </w:rPr>
  </w:style>
  <w:style w:type="character" w:styleId="Emphasis">
    <w:name w:val="Emphasis"/>
    <w:basedOn w:val="DefaultParagraphFont"/>
    <w:uiPriority w:val="20"/>
    <w:qFormat/>
    <w:rsid w:val="00D52351"/>
    <w:rPr>
      <w:rFonts w:asciiTheme="minorHAnsi" w:hAnsiTheme="minorHAnsi"/>
      <w:b/>
      <w:i w:val="0"/>
      <w:iCs/>
      <w:sz w:val="28"/>
    </w:rPr>
  </w:style>
  <w:style w:type="paragraph" w:styleId="ListParagraph">
    <w:name w:val="List Paragraph"/>
    <w:basedOn w:val="Normal"/>
    <w:next w:val="Normal"/>
    <w:uiPriority w:val="3"/>
    <w:qFormat/>
    <w:rsid w:val="00087FA3"/>
    <w:pPr>
      <w:numPr>
        <w:numId w:val="3"/>
      </w:numPr>
      <w:spacing w:before="120" w:after="360"/>
    </w:pPr>
    <w:rPr>
      <w:lang w:val="en-US"/>
    </w:rPr>
  </w:style>
  <w:style w:type="paragraph" w:styleId="Quote">
    <w:name w:val="Quote"/>
    <w:basedOn w:val="Normal"/>
    <w:next w:val="Normal"/>
    <w:link w:val="QuoteChar"/>
    <w:uiPriority w:val="29"/>
    <w:qFormat/>
    <w:rsid w:val="00B01E4C"/>
    <w:pPr>
      <w:spacing w:before="200" w:after="160"/>
      <w:ind w:left="1701" w:right="1701"/>
    </w:pPr>
    <w:rPr>
      <w:iCs/>
      <w:color w:val="000050" w:themeColor="accent1"/>
    </w:rPr>
  </w:style>
  <w:style w:type="character" w:customStyle="1" w:styleId="QuoteChar">
    <w:name w:val="Quote Char"/>
    <w:basedOn w:val="DefaultParagraphFont"/>
    <w:link w:val="Quote"/>
    <w:uiPriority w:val="29"/>
    <w:rsid w:val="00B01E4C"/>
    <w:rPr>
      <w:iCs/>
      <w:color w:val="000050" w:themeColor="accent1"/>
    </w:rPr>
  </w:style>
  <w:style w:type="paragraph" w:styleId="IntenseQuote">
    <w:name w:val="Intense Quote"/>
    <w:basedOn w:val="Normal"/>
    <w:next w:val="Normal"/>
    <w:link w:val="IntenseQuoteChar"/>
    <w:uiPriority w:val="19"/>
    <w:qFormat/>
    <w:rsid w:val="00DF165C"/>
    <w:pPr>
      <w:pBdr>
        <w:top w:val="single" w:sz="4" w:space="10" w:color="000050" w:themeColor="accent1"/>
        <w:bottom w:val="single" w:sz="4" w:space="10" w:color="000050" w:themeColor="accent1"/>
      </w:pBdr>
      <w:spacing w:before="240" w:after="240"/>
      <w:ind w:left="1134" w:right="1134"/>
    </w:pPr>
    <w:rPr>
      <w:iCs/>
      <w:color w:val="000050" w:themeColor="accent1"/>
    </w:rPr>
  </w:style>
  <w:style w:type="character" w:customStyle="1" w:styleId="IntenseQuoteChar">
    <w:name w:val="Intense Quote Char"/>
    <w:basedOn w:val="DefaultParagraphFont"/>
    <w:link w:val="IntenseQuote"/>
    <w:uiPriority w:val="19"/>
    <w:rsid w:val="00482DDF"/>
    <w:rPr>
      <w:iCs/>
      <w:color w:val="000050" w:themeColor="accent1"/>
    </w:rPr>
  </w:style>
  <w:style w:type="character" w:styleId="SubtleEmphasis">
    <w:name w:val="Subtle Emphasis"/>
    <w:basedOn w:val="DefaultParagraphFont"/>
    <w:uiPriority w:val="19"/>
    <w:unhideWhenUsed/>
    <w:qFormat/>
    <w:rsid w:val="00D30EE5"/>
    <w:rPr>
      <w:rFonts w:asciiTheme="minorHAnsi" w:hAnsiTheme="minorHAnsi"/>
      <w:i w:val="0"/>
      <w:iCs/>
      <w:color w:val="000050" w:themeColor="accent1"/>
      <w:sz w:val="28"/>
    </w:rPr>
  </w:style>
  <w:style w:type="character" w:styleId="IntenseEmphasis">
    <w:name w:val="Intense Emphasis"/>
    <w:basedOn w:val="DefaultParagraphFont"/>
    <w:uiPriority w:val="19"/>
    <w:qFormat/>
    <w:rsid w:val="00D52351"/>
    <w:rPr>
      <w:rFonts w:ascii="Arial" w:hAnsi="Arial"/>
      <w:b/>
      <w:i w:val="0"/>
      <w:iCs/>
      <w:color w:val="000050" w:themeColor="accent1"/>
      <w:sz w:val="32"/>
    </w:rPr>
  </w:style>
  <w:style w:type="character" w:styleId="SubtleReference">
    <w:name w:val="Subtle Reference"/>
    <w:basedOn w:val="DefaultParagraphFont"/>
    <w:uiPriority w:val="31"/>
    <w:rsid w:val="00D52351"/>
    <w:rPr>
      <w:rFonts w:asciiTheme="minorHAnsi" w:hAnsiTheme="minorHAnsi"/>
      <w:caps w:val="0"/>
      <w:smallCaps w:val="0"/>
      <w:color w:val="0000BB" w:themeColor="accent1" w:themeTint="BF"/>
      <w:sz w:val="24"/>
    </w:rPr>
  </w:style>
  <w:style w:type="character" w:styleId="IntenseReference">
    <w:name w:val="Intense Reference"/>
    <w:basedOn w:val="DefaultParagraphFont"/>
    <w:uiPriority w:val="32"/>
    <w:rsid w:val="00D52351"/>
    <w:rPr>
      <w:rFonts w:asciiTheme="minorHAnsi" w:hAnsiTheme="minorHAnsi"/>
      <w:b w:val="0"/>
      <w:bCs/>
      <w:i w:val="0"/>
      <w:caps w:val="0"/>
      <w:smallCaps w:val="0"/>
      <w:color w:val="0000BB" w:themeColor="accent1" w:themeTint="BF"/>
      <w:spacing w:val="5"/>
      <w:sz w:val="24"/>
    </w:rPr>
  </w:style>
  <w:style w:type="character" w:styleId="BookTitle">
    <w:name w:val="Book Title"/>
    <w:basedOn w:val="DefaultParagraphFont"/>
    <w:uiPriority w:val="33"/>
    <w:rsid w:val="00D52351"/>
    <w:rPr>
      <w:rFonts w:asciiTheme="minorHAnsi" w:hAnsiTheme="minorHAnsi"/>
      <w:b/>
      <w:bCs/>
      <w:i w:val="0"/>
      <w:iCs/>
      <w:spacing w:val="5"/>
      <w:sz w:val="24"/>
    </w:rPr>
  </w:style>
  <w:style w:type="paragraph" w:styleId="TOCHeading">
    <w:name w:val="TOC Heading"/>
    <w:basedOn w:val="Heading2"/>
    <w:next w:val="Normal"/>
    <w:uiPriority w:val="39"/>
    <w:unhideWhenUsed/>
    <w:qFormat/>
    <w:rsid w:val="00D30EE5"/>
    <w:pPr>
      <w:keepNext/>
      <w:keepLines/>
      <w:pBdr>
        <w:bottom w:val="single" w:sz="8" w:space="1" w:color="000050" w:themeColor="accent1"/>
      </w:pBdr>
      <w:spacing w:before="240" w:line="259" w:lineRule="auto"/>
      <w:outlineLvl w:val="9"/>
    </w:pPr>
    <w:rPr>
      <w:rFonts w:eastAsiaTheme="majorEastAsia" w:cstheme="majorBidi"/>
      <w:bCs w:val="0"/>
      <w:color w:val="C2171C" w:themeColor="accent2"/>
      <w:szCs w:val="32"/>
      <w:lang w:val="en-US"/>
    </w:rPr>
  </w:style>
  <w:style w:type="paragraph" w:styleId="Title">
    <w:name w:val="Title"/>
    <w:basedOn w:val="Normal"/>
    <w:next w:val="Normal"/>
    <w:link w:val="TitleChar"/>
    <w:uiPriority w:val="99"/>
    <w:rsid w:val="00CF29C1"/>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99"/>
    <w:rsid w:val="00CF29C1"/>
    <w:rPr>
      <w:rFonts w:asciiTheme="majorHAnsi" w:eastAsiaTheme="majorEastAsia" w:hAnsiTheme="majorHAnsi" w:cstheme="majorBidi"/>
      <w:spacing w:val="-10"/>
      <w:kern w:val="28"/>
      <w:sz w:val="36"/>
      <w:szCs w:val="56"/>
    </w:rPr>
  </w:style>
  <w:style w:type="paragraph" w:customStyle="1" w:styleId="Feature">
    <w:name w:val="Feature"/>
    <w:basedOn w:val="Normal"/>
    <w:uiPriority w:val="4"/>
    <w:qFormat/>
    <w:rsid w:val="005A55FC"/>
    <w:pPr>
      <w:pBdr>
        <w:top w:val="single" w:sz="4" w:space="5" w:color="000050" w:themeColor="accent1"/>
        <w:left w:val="single" w:sz="4" w:space="5" w:color="000050" w:themeColor="accent1"/>
        <w:bottom w:val="single" w:sz="4" w:space="5" w:color="000050" w:themeColor="accent1"/>
        <w:right w:val="single" w:sz="4" w:space="5" w:color="000050" w:themeColor="accent1"/>
      </w:pBdr>
      <w:shd w:val="clear" w:color="auto" w:fill="000050" w:themeFill="accent1"/>
      <w:spacing w:after="240" w:line="276" w:lineRule="auto"/>
    </w:pPr>
    <w:rPr>
      <w:b/>
      <w:color w:val="FFFFFF" w:themeColor="background1"/>
      <w:sz w:val="32"/>
      <w:szCs w:val="28"/>
    </w:rPr>
  </w:style>
  <w:style w:type="character" w:customStyle="1" w:styleId="Story">
    <w:name w:val="Story"/>
    <w:basedOn w:val="DefaultParagraphFont"/>
    <w:uiPriority w:val="3"/>
    <w:qFormat/>
    <w:rsid w:val="0064648B"/>
    <w:rPr>
      <w:rFonts w:ascii="Arial" w:hAnsi="Arial" w:cs="Arial" w:hint="default"/>
      <w:b/>
      <w:bCs/>
      <w:color w:val="auto"/>
      <w:sz w:val="32"/>
      <w:bdr w:val="none" w:sz="0" w:space="0" w:color="auto"/>
      <w:shd w:val="clear" w:color="auto" w:fill="FBC100" w:themeFill="background2"/>
    </w:rPr>
  </w:style>
  <w:style w:type="paragraph" w:styleId="Header">
    <w:name w:val="header"/>
    <w:basedOn w:val="Normal"/>
    <w:link w:val="HeaderChar"/>
    <w:uiPriority w:val="99"/>
    <w:unhideWhenUsed/>
    <w:rsid w:val="00022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2B"/>
    <w:rPr>
      <w:sz w:val="28"/>
    </w:rPr>
  </w:style>
  <w:style w:type="paragraph" w:styleId="Footer">
    <w:name w:val="footer"/>
    <w:basedOn w:val="Normal"/>
    <w:link w:val="FooterChar"/>
    <w:uiPriority w:val="99"/>
    <w:unhideWhenUsed/>
    <w:rsid w:val="00022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2B"/>
    <w:rPr>
      <w:sz w:val="28"/>
    </w:rPr>
  </w:style>
  <w:style w:type="paragraph" w:styleId="Caption">
    <w:name w:val="caption"/>
    <w:basedOn w:val="Normal"/>
    <w:next w:val="Normal"/>
    <w:uiPriority w:val="35"/>
    <w:semiHidden/>
    <w:unhideWhenUsed/>
    <w:qFormat/>
    <w:rsid w:val="00036880"/>
    <w:pPr>
      <w:spacing w:after="200" w:line="240" w:lineRule="auto"/>
    </w:pPr>
    <w:rPr>
      <w:iCs/>
      <w:color w:val="000050" w:themeColor="accent1"/>
      <w:szCs w:val="18"/>
    </w:rPr>
  </w:style>
  <w:style w:type="table" w:styleId="TableGrid">
    <w:name w:val="Table Grid"/>
    <w:basedOn w:val="TableNormal"/>
    <w:uiPriority w:val="39"/>
    <w:rsid w:val="00D3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30EE5"/>
    <w:rPr>
      <w:rFonts w:asciiTheme="minorHAnsi" w:hAnsiTheme="minorHAnsi"/>
      <w:b/>
      <w:bCs/>
      <w:color w:val="000050" w:themeColor="accent1"/>
      <w:sz w:val="32"/>
    </w:rPr>
  </w:style>
  <w:style w:type="paragraph" w:styleId="TOC1">
    <w:name w:val="toc 1"/>
    <w:basedOn w:val="Normal"/>
    <w:next w:val="Normal"/>
    <w:autoRedefine/>
    <w:uiPriority w:val="39"/>
    <w:unhideWhenUsed/>
    <w:rsid w:val="00867A98"/>
    <w:pPr>
      <w:tabs>
        <w:tab w:val="right" w:leader="dot" w:pos="9016"/>
      </w:tabs>
      <w:spacing w:after="100"/>
    </w:pPr>
    <w:rPr>
      <w:noProof/>
    </w:rPr>
  </w:style>
  <w:style w:type="paragraph" w:styleId="TOC2">
    <w:name w:val="toc 2"/>
    <w:basedOn w:val="Normal"/>
    <w:next w:val="Normal"/>
    <w:autoRedefine/>
    <w:uiPriority w:val="39"/>
    <w:unhideWhenUsed/>
    <w:rsid w:val="00D30EE5"/>
    <w:pPr>
      <w:spacing w:after="100"/>
      <w:ind w:left="280"/>
    </w:pPr>
  </w:style>
  <w:style w:type="paragraph" w:styleId="TOC3">
    <w:name w:val="toc 3"/>
    <w:basedOn w:val="Normal"/>
    <w:next w:val="Normal"/>
    <w:autoRedefine/>
    <w:uiPriority w:val="39"/>
    <w:unhideWhenUsed/>
    <w:rsid w:val="00D30EE5"/>
    <w:pPr>
      <w:spacing w:after="100"/>
      <w:ind w:left="560"/>
    </w:pPr>
  </w:style>
  <w:style w:type="character" w:styleId="Hyperlink">
    <w:name w:val="Hyperlink"/>
    <w:basedOn w:val="DefaultParagraphFont"/>
    <w:uiPriority w:val="99"/>
    <w:unhideWhenUsed/>
    <w:rsid w:val="00D30EE5"/>
    <w:rPr>
      <w:color w:val="0563C1" w:themeColor="hyperlink"/>
      <w:u w:val="single"/>
    </w:rPr>
  </w:style>
  <w:style w:type="table" w:styleId="GridTable4-Accent1">
    <w:name w:val="Grid Table 4 Accent 1"/>
    <w:basedOn w:val="TableNormal"/>
    <w:uiPriority w:val="49"/>
    <w:rsid w:val="008D51EC"/>
    <w:tblPr>
      <w:tblStyleRowBandSize w:val="1"/>
      <w:tblStyleColBandSize w:val="1"/>
      <w:tblBorders>
        <w:top w:val="single" w:sz="4" w:space="0" w:color="0000FC" w:themeColor="accent1" w:themeTint="99"/>
        <w:left w:val="single" w:sz="4" w:space="0" w:color="0000FC" w:themeColor="accent1" w:themeTint="99"/>
        <w:bottom w:val="single" w:sz="4" w:space="0" w:color="0000FC" w:themeColor="accent1" w:themeTint="99"/>
        <w:right w:val="single" w:sz="4" w:space="0" w:color="0000FC" w:themeColor="accent1" w:themeTint="99"/>
        <w:insideH w:val="single" w:sz="4" w:space="0" w:color="0000FC" w:themeColor="accent1" w:themeTint="99"/>
        <w:insideV w:val="single" w:sz="4" w:space="0" w:color="0000FC" w:themeColor="accent1" w:themeTint="99"/>
      </w:tblBorders>
    </w:tblPr>
    <w:tblStylePr w:type="firstRow">
      <w:rPr>
        <w:b/>
        <w:bCs/>
        <w:color w:val="FFFFFF" w:themeColor="background1"/>
      </w:rPr>
      <w:tblPr/>
      <w:tcPr>
        <w:tcBorders>
          <w:top w:val="single" w:sz="4" w:space="0" w:color="000050" w:themeColor="accent1"/>
          <w:left w:val="single" w:sz="4" w:space="0" w:color="000050" w:themeColor="accent1"/>
          <w:bottom w:val="single" w:sz="4" w:space="0" w:color="000050" w:themeColor="accent1"/>
          <w:right w:val="single" w:sz="4" w:space="0" w:color="000050" w:themeColor="accent1"/>
          <w:insideH w:val="nil"/>
          <w:insideV w:val="nil"/>
        </w:tcBorders>
        <w:shd w:val="clear" w:color="auto" w:fill="000050" w:themeFill="accent1"/>
      </w:tcPr>
    </w:tblStylePr>
    <w:tblStylePr w:type="lastRow">
      <w:rPr>
        <w:b/>
        <w:bCs/>
      </w:rPr>
      <w:tblPr/>
      <w:tcPr>
        <w:tcBorders>
          <w:top w:val="double" w:sz="4" w:space="0" w:color="000050" w:themeColor="accent1"/>
        </w:tcBorders>
      </w:tcPr>
    </w:tblStylePr>
    <w:tblStylePr w:type="firstCol">
      <w:rPr>
        <w:b/>
        <w:bCs/>
      </w:rPr>
    </w:tblStylePr>
    <w:tblStylePr w:type="lastCol">
      <w:rPr>
        <w:b/>
        <w:bCs/>
      </w:rPr>
    </w:tblStylePr>
    <w:tblStylePr w:type="band1Vert">
      <w:tblPr/>
      <w:tcPr>
        <w:shd w:val="clear" w:color="auto" w:fill="A9A9FF" w:themeFill="accent1" w:themeFillTint="33"/>
      </w:tcPr>
    </w:tblStylePr>
    <w:tblStylePr w:type="band1Horz">
      <w:tblPr/>
      <w:tcPr>
        <w:shd w:val="clear" w:color="auto" w:fill="A9A9FF" w:themeFill="accent1" w:themeFillTint="33"/>
      </w:tcPr>
    </w:tblStylePr>
  </w:style>
  <w:style w:type="table" w:styleId="ListTable3-Accent1">
    <w:name w:val="List Table 3 Accent 1"/>
    <w:basedOn w:val="TableNormal"/>
    <w:uiPriority w:val="48"/>
    <w:rsid w:val="008D51EC"/>
    <w:tblPr>
      <w:tblStyleRowBandSize w:val="1"/>
      <w:tblStyleColBandSize w:val="1"/>
      <w:tblBorders>
        <w:top w:val="single" w:sz="4" w:space="0" w:color="000050" w:themeColor="accent1"/>
        <w:left w:val="single" w:sz="4" w:space="0" w:color="000050" w:themeColor="accent1"/>
        <w:bottom w:val="single" w:sz="4" w:space="0" w:color="000050" w:themeColor="accent1"/>
        <w:right w:val="single" w:sz="4" w:space="0" w:color="000050" w:themeColor="accent1"/>
      </w:tblBorders>
    </w:tblPr>
    <w:tblStylePr w:type="firstRow">
      <w:rPr>
        <w:b/>
        <w:bCs/>
        <w:color w:val="FFFFFF" w:themeColor="background1"/>
      </w:rPr>
      <w:tblPr/>
      <w:tcPr>
        <w:shd w:val="clear" w:color="auto" w:fill="000050" w:themeFill="accent1"/>
      </w:tcPr>
    </w:tblStylePr>
    <w:tblStylePr w:type="lastRow">
      <w:rPr>
        <w:b/>
        <w:bCs/>
      </w:rPr>
      <w:tblPr/>
      <w:tcPr>
        <w:tcBorders>
          <w:top w:val="double" w:sz="4" w:space="0" w:color="0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50" w:themeColor="accent1"/>
          <w:right w:val="single" w:sz="4" w:space="0" w:color="000050" w:themeColor="accent1"/>
        </w:tcBorders>
      </w:tcPr>
    </w:tblStylePr>
    <w:tblStylePr w:type="band1Horz">
      <w:tblPr/>
      <w:tcPr>
        <w:tcBorders>
          <w:top w:val="single" w:sz="4" w:space="0" w:color="000050" w:themeColor="accent1"/>
          <w:bottom w:val="single" w:sz="4" w:space="0" w:color="0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50" w:themeColor="accent1"/>
          <w:left w:val="nil"/>
        </w:tcBorders>
      </w:tcPr>
    </w:tblStylePr>
    <w:tblStylePr w:type="swCell">
      <w:tblPr/>
      <w:tcPr>
        <w:tcBorders>
          <w:top w:val="double" w:sz="4" w:space="0" w:color="000050" w:themeColor="accent1"/>
          <w:right w:val="nil"/>
        </w:tcBorders>
      </w:tcPr>
    </w:tblStylePr>
  </w:style>
  <w:style w:type="table" w:customStyle="1" w:styleId="DBIAtable">
    <w:name w:val="DBIA table"/>
    <w:basedOn w:val="TableNormal"/>
    <w:uiPriority w:val="99"/>
    <w:rsid w:val="006F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inorHAnsi" w:hAnsiTheme="minorHAnsi"/>
        <w:b/>
        <w:color w:val="FFFFFF" w:themeColor="background1"/>
        <w:sz w:val="28"/>
      </w:rPr>
      <w:tblPr/>
      <w:trPr>
        <w:cantSplit/>
        <w:tblHeader/>
      </w:trPr>
      <w:tcPr>
        <w:shd w:val="clear" w:color="auto" w:fill="000050" w:themeFill="accent1"/>
      </w:tcPr>
    </w:tblStylePr>
    <w:tblStylePr w:type="firstCol">
      <w:rPr>
        <w:rFonts w:asciiTheme="minorHAnsi" w:hAnsiTheme="minorHAnsi"/>
        <w:b/>
        <w:sz w:val="24"/>
      </w:rPr>
    </w:tblStylePr>
  </w:style>
  <w:style w:type="paragraph" w:styleId="NoSpacing">
    <w:name w:val="No Spacing"/>
    <w:link w:val="NoSpacingChar"/>
    <w:uiPriority w:val="1"/>
    <w:qFormat/>
    <w:rsid w:val="00863755"/>
    <w:rPr>
      <w:rFonts w:eastAsiaTheme="minorEastAsia"/>
      <w:sz w:val="22"/>
      <w:szCs w:val="22"/>
      <w:lang w:val="en-US"/>
    </w:rPr>
  </w:style>
  <w:style w:type="character" w:customStyle="1" w:styleId="NoSpacingChar">
    <w:name w:val="No Spacing Char"/>
    <w:basedOn w:val="DefaultParagraphFont"/>
    <w:link w:val="NoSpacing"/>
    <w:uiPriority w:val="1"/>
    <w:rsid w:val="00863755"/>
    <w:rPr>
      <w:rFonts w:eastAsiaTheme="minorEastAsia"/>
      <w:sz w:val="22"/>
      <w:szCs w:val="22"/>
      <w:lang w:val="en-US"/>
    </w:rPr>
  </w:style>
  <w:style w:type="paragraph" w:styleId="EndnoteText">
    <w:name w:val="endnote text"/>
    <w:basedOn w:val="Normal"/>
    <w:link w:val="EndnoteTextChar"/>
    <w:uiPriority w:val="99"/>
    <w:semiHidden/>
    <w:unhideWhenUsed/>
    <w:rsid w:val="006F50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503A"/>
    <w:rPr>
      <w:sz w:val="20"/>
      <w:szCs w:val="20"/>
    </w:rPr>
  </w:style>
  <w:style w:type="character" w:styleId="EndnoteReference">
    <w:name w:val="endnote reference"/>
    <w:basedOn w:val="DefaultParagraphFont"/>
    <w:uiPriority w:val="99"/>
    <w:semiHidden/>
    <w:unhideWhenUsed/>
    <w:rsid w:val="006F503A"/>
    <w:rPr>
      <w:vertAlign w:val="superscript"/>
    </w:rPr>
  </w:style>
  <w:style w:type="paragraph" w:styleId="NormalWeb">
    <w:name w:val="Normal (Web)"/>
    <w:basedOn w:val="Normal"/>
    <w:uiPriority w:val="99"/>
    <w:unhideWhenUsed/>
    <w:rsid w:val="00871C76"/>
    <w:pPr>
      <w:spacing w:before="100" w:beforeAutospacing="1" w:after="100" w:afterAutospacing="1" w:line="240" w:lineRule="auto"/>
    </w:pPr>
    <w:rPr>
      <w:rFonts w:ascii="Times New Roman" w:eastAsia="Times New Roman" w:hAnsi="Times New Roman" w:cs="Times New Roman"/>
      <w:lang w:eastAsia="en-GB"/>
    </w:rPr>
  </w:style>
  <w:style w:type="paragraph" w:styleId="TOC4">
    <w:name w:val="toc 4"/>
    <w:basedOn w:val="Normal"/>
    <w:next w:val="Normal"/>
    <w:autoRedefine/>
    <w:uiPriority w:val="39"/>
    <w:unhideWhenUsed/>
    <w:rsid w:val="00CD5C14"/>
    <w:pPr>
      <w:spacing w:after="100"/>
      <w:ind w:left="7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3324"/>
  </w:style>
  <w:style w:type="paragraph" w:styleId="CommentSubject">
    <w:name w:val="annotation subject"/>
    <w:basedOn w:val="CommentText"/>
    <w:next w:val="CommentText"/>
    <w:link w:val="CommentSubjectChar"/>
    <w:uiPriority w:val="99"/>
    <w:semiHidden/>
    <w:unhideWhenUsed/>
    <w:rsid w:val="00E15D1C"/>
    <w:rPr>
      <w:b/>
      <w:bCs/>
    </w:rPr>
  </w:style>
  <w:style w:type="character" w:customStyle="1" w:styleId="CommentSubjectChar">
    <w:name w:val="Comment Subject Char"/>
    <w:basedOn w:val="CommentTextChar"/>
    <w:link w:val="CommentSubject"/>
    <w:uiPriority w:val="99"/>
    <w:semiHidden/>
    <w:rsid w:val="00E1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3041">
      <w:bodyDiv w:val="1"/>
      <w:marLeft w:val="0"/>
      <w:marRight w:val="0"/>
      <w:marTop w:val="0"/>
      <w:marBottom w:val="0"/>
      <w:divBdr>
        <w:top w:val="none" w:sz="0" w:space="0" w:color="auto"/>
        <w:left w:val="none" w:sz="0" w:space="0" w:color="auto"/>
        <w:bottom w:val="none" w:sz="0" w:space="0" w:color="auto"/>
        <w:right w:val="none" w:sz="0" w:space="0" w:color="auto"/>
      </w:divBdr>
    </w:div>
    <w:div w:id="18427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13.emf"/></Relationships>
</file>

<file path=word/theme/theme1.xml><?xml version="1.0" encoding="utf-8"?>
<a:theme xmlns:a="http://schemas.openxmlformats.org/drawingml/2006/main" name="Deafblind Information Australia">
  <a:themeElements>
    <a:clrScheme name="Deafblind Information Australia">
      <a:dk1>
        <a:sysClr val="windowText" lastClr="000000"/>
      </a:dk1>
      <a:lt1>
        <a:sysClr val="window" lastClr="FFFFFF"/>
      </a:lt1>
      <a:dk2>
        <a:srgbClr val="000033"/>
      </a:dk2>
      <a:lt2>
        <a:srgbClr val="FBC100"/>
      </a:lt2>
      <a:accent1>
        <a:srgbClr val="000050"/>
      </a:accent1>
      <a:accent2>
        <a:srgbClr val="C2171C"/>
      </a:accent2>
      <a:accent3>
        <a:srgbClr val="00B2F0"/>
      </a:accent3>
      <a:accent4>
        <a:srgbClr val="F27021"/>
      </a:accent4>
      <a:accent5>
        <a:srgbClr val="F7B795"/>
      </a:accent5>
      <a:accent6>
        <a:srgbClr val="00A8A6"/>
      </a:accent6>
      <a:hlink>
        <a:srgbClr val="0563C1"/>
      </a:hlink>
      <a:folHlink>
        <a:srgbClr val="954F72"/>
      </a:folHlink>
    </a:clrScheme>
    <a:fontScheme name="Deafblind Information Australia">
      <a:majorFont>
        <a:latin typeface="Arial Black"/>
        <a:ea typeface=""/>
        <a:cs typeface=""/>
      </a:majorFont>
      <a:minorFont>
        <a:latin typeface="Arial"/>
        <a:ea typeface=""/>
        <a:cs typeface=""/>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afblind Information Australia" id="{9BB4EDDF-FD06-41ED-BFB6-28D5F1A8A9A8}" vid="{7CEB4C55-CBD8-42AA-8C1F-88B1A5FB01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D78E3A398F3419ADC98240CA9B5DE" ma:contentTypeVersion="33" ma:contentTypeDescription="Create a new document." ma:contentTypeScope="" ma:versionID="9de00f03ec2db228a9c2b6f8c0ad10e3">
  <xsd:schema xmlns:xsd="http://www.w3.org/2001/XMLSchema" xmlns:xs="http://www.w3.org/2001/XMLSchema" xmlns:p="http://schemas.microsoft.com/office/2006/metadata/properties" xmlns:ns1="http://schemas.microsoft.com/sharepoint/v3" xmlns:ns2="042efdc7-59c3-4ea1-acf9-ad98bbf20f11" xmlns:ns3="da0d2570-240f-42ef-b71f-454e6cf9e88e" targetNamespace="http://schemas.microsoft.com/office/2006/metadata/properties" ma:root="true" ma:fieldsID="bb0551624934f24e482d5fe40d968ff5" ns1:_="" ns2:_="" ns3:_="">
    <xsd:import namespace="http://schemas.microsoft.com/sharepoint/v3"/>
    <xsd:import namespace="042efdc7-59c3-4ea1-acf9-ad98bbf20f11"/>
    <xsd:import namespace="da0d2570-240f-42ef-b71f-454e6cf9e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AgendaItem" minOccurs="0"/>
                <xsd:element ref="ns2:TaxCatchAll" minOccurs="0"/>
                <xsd:element ref="ns3:lcf76f155ced4ddcb4097134ff3c332f" minOccurs="0"/>
                <xsd:element ref="ns3:MediaServiceObjectDetectorVersions" minOccurs="0"/>
                <xsd:element ref="ns3:MediaServiceSearchProperties" minOccurs="0"/>
                <xsd:element ref="ns3:URL" minOccurs="0"/>
                <xsd:element ref="ns3:cf635747-a241-421b-be6c-97dbf555f4f2CountryOrRegion" minOccurs="0"/>
                <xsd:element ref="ns3:cf635747-a241-421b-be6c-97dbf555f4f2State" minOccurs="0"/>
                <xsd:element ref="ns3:cf635747-a241-421b-be6c-97dbf555f4f2City" minOccurs="0"/>
                <xsd:element ref="ns3:cf635747-a241-421b-be6c-97dbf555f4f2PostalCode" minOccurs="0"/>
                <xsd:element ref="ns3:cf635747-a241-421b-be6c-97dbf555f4f2Street" minOccurs="0"/>
                <xsd:element ref="ns3:cf635747-a241-421b-be6c-97dbf555f4f2GeoLoc" minOccurs="0"/>
                <xsd:element ref="ns3:cf635747-a241-421b-be6c-97dbf555f4f2DispName"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fdc7-59c3-4ea1-acf9-ad98bbf20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4438d3d-81f9-4fef-91b8-a8ac959800ee}" ma:internalName="TaxCatchAll" ma:showField="CatchAllData" ma:web="042efdc7-59c3-4ea1-acf9-ad98bbf20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d2570-240f-42ef-b71f-454e6cf9e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AgendaItem" ma:index="24" nillable="true" ma:displayName="Agenda Item" ma:format="Dropdown" ma:internalName="AgendaItem"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aa20774-818b-4d7e-a599-6014ff335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RL" ma:index="30" nillable="true" ma:displayName="URL" ma:format="Dropdown" ma:internalName="URL">
      <xsd:simpleType>
        <xsd:restriction base="dms:Unknown"/>
      </xsd:simpleType>
    </xsd:element>
    <xsd:element name="cf635747-a241-421b-be6c-97dbf555f4f2CountryOrRegion" ma:index="31" nillable="true" ma:displayName="URL: Country/Region" ma:internalName="CountryOrRegion" ma:readOnly="true">
      <xsd:simpleType>
        <xsd:restriction base="dms:Text"/>
      </xsd:simpleType>
    </xsd:element>
    <xsd:element name="cf635747-a241-421b-be6c-97dbf555f4f2State" ma:index="32" nillable="true" ma:displayName="URL: State" ma:internalName="State" ma:readOnly="true">
      <xsd:simpleType>
        <xsd:restriction base="dms:Text"/>
      </xsd:simpleType>
    </xsd:element>
    <xsd:element name="cf635747-a241-421b-be6c-97dbf555f4f2City" ma:index="33" nillable="true" ma:displayName="URL: City" ma:internalName="City" ma:readOnly="true">
      <xsd:simpleType>
        <xsd:restriction base="dms:Text"/>
      </xsd:simpleType>
    </xsd:element>
    <xsd:element name="cf635747-a241-421b-be6c-97dbf555f4f2PostalCode" ma:index="34" nillable="true" ma:displayName="URL: Postal Code" ma:internalName="PostalCode" ma:readOnly="true">
      <xsd:simpleType>
        <xsd:restriction base="dms:Text"/>
      </xsd:simpleType>
    </xsd:element>
    <xsd:element name="cf635747-a241-421b-be6c-97dbf555f4f2Street" ma:index="35" nillable="true" ma:displayName="URL: Street" ma:internalName="Street" ma:readOnly="true">
      <xsd:simpleType>
        <xsd:restriction base="dms:Text"/>
      </xsd:simpleType>
    </xsd:element>
    <xsd:element name="cf635747-a241-421b-be6c-97dbf555f4f2GeoLoc" ma:index="36" nillable="true" ma:displayName="URL: Coordinates" ma:internalName="GeoLoc" ma:readOnly="true">
      <xsd:simpleType>
        <xsd:restriction base="dms:Unknown"/>
      </xsd:simpleType>
    </xsd:element>
    <xsd:element name="cf635747-a241-421b-be6c-97dbf555f4f2DispName" ma:index="37" nillable="true" ma:displayName="URL: Name" ma:internalName="DispName" ma:readOnly="true">
      <xsd:simpleType>
        <xsd:restriction base="dms:Text"/>
      </xsd:simpleType>
    </xsd:element>
    <xsd:element name="Status" ma:index="38" nillable="true" ma:displayName="Status" ma:default="1" ma:format="Dropdown" ma:internalName="Status">
      <xsd:simpleType>
        <xsd:restriction base="dms:Boolea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0d2570-240f-42ef-b71f-454e6cf9e88e">
      <Terms xmlns="http://schemas.microsoft.com/office/infopath/2007/PartnerControls"/>
    </lcf76f155ced4ddcb4097134ff3c332f>
    <AgendaItem xmlns="da0d2570-240f-42ef-b71f-454e6cf9e88e" xsi:nil="true"/>
    <TaxCatchAll xmlns="042efdc7-59c3-4ea1-acf9-ad98bbf20f11" xsi:nil="true"/>
    <URL xmlns="da0d2570-240f-42ef-b71f-454e6cf9e88e" xsi:nil="true"/>
    <_dlc_DocId xmlns="042efdc7-59c3-4ea1-acf9-ad98bbf20f11">7RRDVNFMW62K-2102554853-1847486</_dlc_DocId>
    <_dlc_DocIdUrl xmlns="042efdc7-59c3-4ea1-acf9-ad98bbf20f11">
      <Url>https://sensesaus.sharepoint.com/_layouts/15/DocIdRedir.aspx?ID=7RRDVNFMW62K-2102554853-1847486</Url>
      <Description>7RRDVNFMW62K-2102554853-1847486</Description>
    </_dlc_DocIdUrl>
    <_ip_UnifiedCompliancePolicyUIAction xmlns="http://schemas.microsoft.com/sharepoint/v3" xsi:nil="true"/>
    <_ip_UnifiedCompliancePolicyProperties xmlns="http://schemas.microsoft.com/sharepoint/v3" xsi:nil="true"/>
    <Status xmlns="da0d2570-240f-42ef-b71f-454e6cf9e88e">true</Status>
  </documentManagement>
</p:properties>
</file>

<file path=customXml/itemProps1.xml><?xml version="1.0" encoding="utf-8"?>
<ds:datastoreItem xmlns:ds="http://schemas.openxmlformats.org/officeDocument/2006/customXml" ds:itemID="{239B7287-ABF0-4527-850A-AFE494F9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efdc7-59c3-4ea1-acf9-ad98bbf20f11"/>
    <ds:schemaRef ds:uri="da0d2570-240f-42ef-b71f-454e6cf9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0E40C-C6C5-4875-A91F-6847826F3015}">
  <ds:schemaRefs>
    <ds:schemaRef ds:uri="http://schemas.openxmlformats.org/officeDocument/2006/bibliography"/>
  </ds:schemaRefs>
</ds:datastoreItem>
</file>

<file path=customXml/itemProps3.xml><?xml version="1.0" encoding="utf-8"?>
<ds:datastoreItem xmlns:ds="http://schemas.openxmlformats.org/officeDocument/2006/customXml" ds:itemID="{B02BBEF1-6B0D-45CB-B456-0897AD34DEE9}">
  <ds:schemaRefs>
    <ds:schemaRef ds:uri="http://schemas.microsoft.com/sharepoint/events"/>
  </ds:schemaRefs>
</ds:datastoreItem>
</file>

<file path=customXml/itemProps4.xml><?xml version="1.0" encoding="utf-8"?>
<ds:datastoreItem xmlns:ds="http://schemas.openxmlformats.org/officeDocument/2006/customXml" ds:itemID="{A21B7AB0-B5CB-4D5B-BB24-07763B37AB54}">
  <ds:schemaRefs>
    <ds:schemaRef ds:uri="http://schemas.microsoft.com/sharepoint/v3/contenttype/forms"/>
  </ds:schemaRefs>
</ds:datastoreItem>
</file>

<file path=customXml/itemProps5.xml><?xml version="1.0" encoding="utf-8"?>
<ds:datastoreItem xmlns:ds="http://schemas.openxmlformats.org/officeDocument/2006/customXml" ds:itemID="{3495A2CA-319D-44EB-8607-CBFD65BF77A0}">
  <ds:schemaRefs>
    <ds:schemaRef ds:uri="http://schemas.microsoft.com/office/2006/metadata/properties"/>
    <ds:schemaRef ds:uri="http://schemas.microsoft.com/office/infopath/2007/PartnerControls"/>
    <ds:schemaRef ds:uri="da0d2570-240f-42ef-b71f-454e6cf9e88e"/>
    <ds:schemaRef ds:uri="042efdc7-59c3-4ea1-acf9-ad98bbf20f1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2099</Words>
  <Characters>14903</Characters>
  <Application>Microsoft Office Word</Application>
  <DocSecurity>0</DocSecurity>
  <Lines>392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Melanie Robartson</cp:lastModifiedBy>
  <cp:revision>86</cp:revision>
  <cp:lastPrinted>2023-04-28T02:30:00Z</cp:lastPrinted>
  <dcterms:created xsi:type="dcterms:W3CDTF">2026-06-25T00:54:00Z</dcterms:created>
  <dcterms:modified xsi:type="dcterms:W3CDTF">2026-06-25T05:05:00Z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a3493919-0323-4587-a7c5-4d4da22c8c45</vt:lpwstr>
  </property>
  <property fmtid="{D5CDD505-2E9C-101B-9397-08002B2CF9AE}" pid="3" name="ContentTypeId">
    <vt:lpwstr>0x01010093CD78E3A398F3419ADC98240CA9B5DE</vt:lpwstr>
  </property>
  <property fmtid="{D5CDD505-2E9C-101B-9397-08002B2CF9AE}" pid="4" name="_dlc_DocIdItemGuid">
    <vt:lpwstr>3037b99e-ac2c-4e20-b5e7-b650d9ebcb93</vt:lpwstr>
  </property>
  <property fmtid="{D5CDD505-2E9C-101B-9397-08002B2CF9AE}" pid="5" name="MediaServiceImageTags">
    <vt:lpwstr/>
  </property>
</Properties>
</file>